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7043B" w14:textId="77777777" w:rsidR="004A01EE" w:rsidRPr="0029304B" w:rsidRDefault="004A01EE" w:rsidP="00415143">
      <w:pPr>
        <w:pStyle w:val="Subtitle"/>
      </w:pPr>
    </w:p>
    <w:p w14:paraId="70CB8E43" w14:textId="77777777" w:rsidR="008B7831" w:rsidRPr="0029304B" w:rsidRDefault="008B7831" w:rsidP="00415143">
      <w:pPr>
        <w:rPr>
          <w:lang w:eastAsia="zh-CN"/>
        </w:rPr>
      </w:pPr>
    </w:p>
    <w:p w14:paraId="4E2CD2CE" w14:textId="77777777" w:rsidR="00415143" w:rsidRPr="0029304B" w:rsidRDefault="00415143" w:rsidP="00415143">
      <w:pPr>
        <w:rPr>
          <w:lang w:eastAsia="zh-CN"/>
        </w:rPr>
      </w:pPr>
    </w:p>
    <w:p w14:paraId="28A00A3F" w14:textId="77777777" w:rsidR="004A01EE" w:rsidRPr="0029304B" w:rsidRDefault="004A01EE" w:rsidP="00415143">
      <w:pPr>
        <w:pStyle w:val="Subtitle"/>
      </w:pPr>
    </w:p>
    <w:p w14:paraId="1EB5CB76" w14:textId="77777777" w:rsidR="004A01EE" w:rsidRPr="0029304B" w:rsidRDefault="004A01EE" w:rsidP="00415143">
      <w:pPr>
        <w:pStyle w:val="Subtitle"/>
      </w:pPr>
    </w:p>
    <w:p w14:paraId="3F4B26AA" w14:textId="77777777" w:rsidR="004A01EE" w:rsidRPr="0029304B" w:rsidRDefault="004A01EE" w:rsidP="00415143">
      <w:pPr>
        <w:pStyle w:val="Subtitle"/>
      </w:pPr>
    </w:p>
    <w:p w14:paraId="41171575" w14:textId="77777777" w:rsidR="0046641E" w:rsidRPr="0029304B" w:rsidRDefault="0046641E" w:rsidP="00415143">
      <w:pPr>
        <w:pStyle w:val="Subtitle"/>
      </w:pPr>
    </w:p>
    <w:p w14:paraId="2D9F1135" w14:textId="77777777" w:rsidR="0082497F" w:rsidRPr="0029304B" w:rsidRDefault="0082497F" w:rsidP="00415143">
      <w:pPr>
        <w:pStyle w:val="Subtitle"/>
      </w:pPr>
    </w:p>
    <w:p w14:paraId="4A63E0B7" w14:textId="1BA55620" w:rsidR="004A01EE" w:rsidRPr="0029304B" w:rsidRDefault="000E2568" w:rsidP="00E95C06">
      <w:pPr>
        <w:pStyle w:val="Title"/>
        <w:jc w:val="center"/>
      </w:pPr>
      <w:r w:rsidRPr="0029304B">
        <w:t xml:space="preserve">Non-Motorised </w:t>
      </w:r>
      <w:r w:rsidR="00E95C06" w:rsidRPr="0029304B">
        <w:t xml:space="preserve">Transport </w:t>
      </w:r>
      <w:r w:rsidR="00E95C06">
        <w:t>Strategy</w:t>
      </w:r>
      <w:r w:rsidR="00C4568E">
        <w:t xml:space="preserve"> Template </w:t>
      </w:r>
    </w:p>
    <w:p w14:paraId="74B0AABD" w14:textId="77777777" w:rsidR="004A01EE" w:rsidRPr="0029304B" w:rsidRDefault="004A01EE" w:rsidP="00415143">
      <w:pPr>
        <w:pStyle w:val="Subtitle"/>
      </w:pPr>
    </w:p>
    <w:p w14:paraId="389301D5" w14:textId="77777777" w:rsidR="0082497F" w:rsidRPr="0029304B" w:rsidRDefault="0082497F" w:rsidP="00415143">
      <w:pPr>
        <w:pStyle w:val="Subtitle"/>
      </w:pPr>
    </w:p>
    <w:p w14:paraId="7ABA14E1" w14:textId="77777777" w:rsidR="00353486" w:rsidRPr="0029304B" w:rsidRDefault="00353486" w:rsidP="00415143">
      <w:pPr>
        <w:pStyle w:val="Subtitle"/>
      </w:pPr>
    </w:p>
    <w:p w14:paraId="4FBFE709" w14:textId="77777777" w:rsidR="00353486" w:rsidRPr="0029304B" w:rsidRDefault="00353486" w:rsidP="00415143">
      <w:pPr>
        <w:pStyle w:val="Subtitle"/>
      </w:pPr>
    </w:p>
    <w:p w14:paraId="100F224F" w14:textId="77777777" w:rsidR="00353486" w:rsidRPr="0029304B" w:rsidRDefault="00353486" w:rsidP="00415143">
      <w:pPr>
        <w:pStyle w:val="Subtitle"/>
      </w:pPr>
    </w:p>
    <w:p w14:paraId="2FA3E29A" w14:textId="77777777" w:rsidR="00353486" w:rsidRPr="0029304B" w:rsidRDefault="00353486" w:rsidP="00415143">
      <w:pPr>
        <w:pStyle w:val="Subtitle"/>
      </w:pPr>
    </w:p>
    <w:p w14:paraId="3D3906BC" w14:textId="77777777" w:rsidR="001E40C1" w:rsidRPr="0029304B" w:rsidRDefault="001E40C1" w:rsidP="00415143">
      <w:pPr>
        <w:pStyle w:val="Subtitle"/>
      </w:pPr>
    </w:p>
    <w:p w14:paraId="36784439" w14:textId="3B42087F" w:rsidR="000E2568" w:rsidRPr="0029304B" w:rsidRDefault="000E2568" w:rsidP="000E2568">
      <w:pPr>
        <w:rPr>
          <w:rFonts w:ascii="Trebuchet MS" w:hAnsi="Trebuchet MS"/>
          <w:color w:val="FFFFFF" w:themeColor="background1"/>
          <w:sz w:val="28"/>
        </w:rPr>
      </w:pPr>
    </w:p>
    <w:p w14:paraId="3EDE07B0" w14:textId="77777777" w:rsidR="00EC4A05" w:rsidRPr="0029304B" w:rsidRDefault="000E2568" w:rsidP="000E2568">
      <w:pPr>
        <w:rPr>
          <w:rFonts w:ascii="Trebuchet MS" w:hAnsi="Trebuchet MS"/>
          <w:color w:val="FFFFFF" w:themeColor="background1"/>
          <w:sz w:val="28"/>
        </w:rPr>
      </w:pPr>
      <w:r w:rsidRPr="0029304B">
        <w:rPr>
          <w:rFonts w:ascii="Trebuchet MS" w:hAnsi="Trebuchet MS"/>
          <w:color w:val="FFFFFF" w:themeColor="background1"/>
          <w:sz w:val="28"/>
        </w:rPr>
        <w:t>United Nations Environment Programme</w:t>
      </w:r>
    </w:p>
    <w:p w14:paraId="4AE61D65" w14:textId="7023EB08" w:rsidR="00A32D5C" w:rsidRPr="0029304B" w:rsidRDefault="00025A7F" w:rsidP="00415143">
      <w:pPr>
        <w:pStyle w:val="Subtitle"/>
      </w:pPr>
      <w:r w:rsidRPr="0029304B">
        <w:t>Institute for Transp</w:t>
      </w:r>
      <w:r w:rsidR="00EC4A05" w:rsidRPr="0029304B">
        <w:t>ortation and Development Policy</w:t>
      </w:r>
    </w:p>
    <w:p w14:paraId="790298B5" w14:textId="77777777" w:rsidR="00FC0F92" w:rsidRPr="0029304B" w:rsidRDefault="00FC0F92">
      <w:pPr>
        <w:pStyle w:val="FreeForm"/>
        <w:rPr>
          <w:rFonts w:ascii="Trebuchet MS" w:eastAsia="Times New Roman" w:hAnsi="Trebuchet MS"/>
          <w:color w:val="FFFFFF"/>
          <w:sz w:val="28"/>
          <w:szCs w:val="24"/>
          <w:lang w:val="en-GB" w:eastAsia="en-US"/>
        </w:rPr>
      </w:pPr>
    </w:p>
    <w:p w14:paraId="73A962F8" w14:textId="77777777" w:rsidR="00FC0F92" w:rsidRPr="0029304B" w:rsidRDefault="00FC0F92" w:rsidP="00B23768">
      <w:pPr>
        <w:pStyle w:val="Heading5"/>
        <w:sectPr w:rsidR="00FC0F92" w:rsidRPr="0029304B" w:rsidSect="00FC0F92">
          <w:headerReference w:type="default" r:id="rId8"/>
          <w:footerReference w:type="even" r:id="rId9"/>
          <w:footerReference w:type="default" r:id="rId10"/>
          <w:pgSz w:w="11900" w:h="16840"/>
          <w:pgMar w:top="1440" w:right="1440" w:bottom="1440" w:left="1440" w:header="720" w:footer="864" w:gutter="0"/>
          <w:pgNumType w:fmt="lowerRoman" w:start="1"/>
          <w:cols w:space="720"/>
        </w:sectPr>
      </w:pPr>
    </w:p>
    <w:p w14:paraId="4446B0D1" w14:textId="77777777" w:rsidR="00025A7F" w:rsidRPr="0029304B" w:rsidRDefault="00025A7F">
      <w:pPr>
        <w:pStyle w:val="Heading1notinTOC"/>
      </w:pPr>
      <w:r w:rsidRPr="0029304B">
        <w:lastRenderedPageBreak/>
        <w:t>Contents</w:t>
      </w:r>
    </w:p>
    <w:p w14:paraId="6F0A88BF" w14:textId="6B2B187C" w:rsidR="00BE069D" w:rsidRDefault="003F044B">
      <w:pPr>
        <w:pStyle w:val="TOC1"/>
        <w:rPr>
          <w:rFonts w:asciiTheme="minorHAnsi" w:eastAsiaTheme="minorEastAsia" w:hAnsiTheme="minorHAnsi" w:cstheme="minorBidi"/>
          <w:noProof/>
          <w:sz w:val="24"/>
          <w:szCs w:val="24"/>
          <w:lang w:val="en-US"/>
        </w:rPr>
      </w:pPr>
      <w:r w:rsidRPr="0029304B">
        <w:rPr>
          <w:b/>
        </w:rPr>
        <w:fldChar w:fldCharType="begin"/>
      </w:r>
      <w:r w:rsidR="00661C3F" w:rsidRPr="0029304B">
        <w:rPr>
          <w:b/>
        </w:rPr>
        <w:instrText xml:space="preserve"> TOC \o "2-2" \t "Heading 1,1" </w:instrText>
      </w:r>
      <w:r w:rsidRPr="0029304B">
        <w:rPr>
          <w:b/>
        </w:rPr>
        <w:fldChar w:fldCharType="separate"/>
      </w:r>
      <w:r w:rsidR="00BE069D">
        <w:rPr>
          <w:noProof/>
        </w:rPr>
        <w:t>1.</w:t>
      </w:r>
      <w:r w:rsidR="00BE069D">
        <w:rPr>
          <w:rFonts w:asciiTheme="minorHAnsi" w:eastAsiaTheme="minorEastAsia" w:hAnsiTheme="minorHAnsi" w:cstheme="minorBidi"/>
          <w:noProof/>
          <w:sz w:val="24"/>
          <w:szCs w:val="24"/>
          <w:lang w:val="en-US"/>
        </w:rPr>
        <w:tab/>
      </w:r>
      <w:r w:rsidR="00BE069D">
        <w:rPr>
          <w:noProof/>
        </w:rPr>
        <w:t>Introduction</w:t>
      </w:r>
      <w:r w:rsidR="00BE069D">
        <w:rPr>
          <w:noProof/>
        </w:rPr>
        <w:tab/>
      </w:r>
      <w:r w:rsidR="00BE069D">
        <w:rPr>
          <w:noProof/>
        </w:rPr>
        <w:fldChar w:fldCharType="begin"/>
      </w:r>
      <w:r w:rsidR="00BE069D">
        <w:rPr>
          <w:noProof/>
        </w:rPr>
        <w:instrText xml:space="preserve"> PAGEREF _Toc7200484 \h </w:instrText>
      </w:r>
      <w:r w:rsidR="00BE069D">
        <w:rPr>
          <w:noProof/>
        </w:rPr>
      </w:r>
      <w:r w:rsidR="00BE069D">
        <w:rPr>
          <w:noProof/>
        </w:rPr>
        <w:fldChar w:fldCharType="separate"/>
      </w:r>
      <w:r w:rsidR="00BE069D">
        <w:rPr>
          <w:noProof/>
        </w:rPr>
        <w:t>3</w:t>
      </w:r>
      <w:r w:rsidR="00BE069D">
        <w:rPr>
          <w:noProof/>
        </w:rPr>
        <w:fldChar w:fldCharType="end"/>
      </w:r>
    </w:p>
    <w:p w14:paraId="022D0BB7" w14:textId="13151949" w:rsidR="00BE069D" w:rsidRDefault="00BE069D">
      <w:pPr>
        <w:pStyle w:val="TOC1"/>
        <w:rPr>
          <w:rFonts w:asciiTheme="minorHAnsi" w:eastAsiaTheme="minorEastAsia" w:hAnsiTheme="minorHAnsi" w:cstheme="minorBidi"/>
          <w:noProof/>
          <w:sz w:val="24"/>
          <w:szCs w:val="24"/>
          <w:lang w:val="en-US"/>
        </w:rPr>
      </w:pPr>
      <w:r>
        <w:rPr>
          <w:noProof/>
        </w:rPr>
        <w:t>2.</w:t>
      </w:r>
      <w:r>
        <w:rPr>
          <w:rFonts w:asciiTheme="minorHAnsi" w:eastAsiaTheme="minorEastAsia" w:hAnsiTheme="minorHAnsi" w:cstheme="minorBidi"/>
          <w:noProof/>
          <w:sz w:val="24"/>
          <w:szCs w:val="24"/>
          <w:lang w:val="en-US"/>
        </w:rPr>
        <w:tab/>
      </w:r>
      <w:r>
        <w:rPr>
          <w:noProof/>
        </w:rPr>
        <w:t>Emerging urban mobility challenges</w:t>
      </w:r>
      <w:r>
        <w:rPr>
          <w:noProof/>
        </w:rPr>
        <w:tab/>
      </w:r>
      <w:r>
        <w:rPr>
          <w:noProof/>
        </w:rPr>
        <w:fldChar w:fldCharType="begin"/>
      </w:r>
      <w:r>
        <w:rPr>
          <w:noProof/>
        </w:rPr>
        <w:instrText xml:space="preserve"> PAGEREF _Toc7200485 \h </w:instrText>
      </w:r>
      <w:r>
        <w:rPr>
          <w:noProof/>
        </w:rPr>
      </w:r>
      <w:r>
        <w:rPr>
          <w:noProof/>
        </w:rPr>
        <w:fldChar w:fldCharType="separate"/>
      </w:r>
      <w:r>
        <w:rPr>
          <w:noProof/>
        </w:rPr>
        <w:t>3</w:t>
      </w:r>
      <w:r>
        <w:rPr>
          <w:noProof/>
        </w:rPr>
        <w:fldChar w:fldCharType="end"/>
      </w:r>
    </w:p>
    <w:p w14:paraId="15271691" w14:textId="5946B799" w:rsidR="00BE069D" w:rsidRDefault="00BE069D">
      <w:pPr>
        <w:pStyle w:val="TOC1"/>
        <w:rPr>
          <w:rFonts w:asciiTheme="minorHAnsi" w:eastAsiaTheme="minorEastAsia" w:hAnsiTheme="minorHAnsi" w:cstheme="minorBidi"/>
          <w:noProof/>
          <w:sz w:val="24"/>
          <w:szCs w:val="24"/>
          <w:lang w:val="en-US"/>
        </w:rPr>
      </w:pPr>
      <w:r>
        <w:rPr>
          <w:noProof/>
        </w:rPr>
        <w:t>3.</w:t>
      </w:r>
      <w:r>
        <w:rPr>
          <w:rFonts w:asciiTheme="minorHAnsi" w:eastAsiaTheme="minorEastAsia" w:hAnsiTheme="minorHAnsi" w:cstheme="minorBidi"/>
          <w:noProof/>
          <w:sz w:val="24"/>
          <w:szCs w:val="24"/>
          <w:lang w:val="en-US"/>
        </w:rPr>
        <w:tab/>
      </w:r>
      <w:r>
        <w:rPr>
          <w:noProof/>
        </w:rPr>
        <w:t>Assessment of walking &amp; cycling environment</w:t>
      </w:r>
      <w:r>
        <w:rPr>
          <w:noProof/>
        </w:rPr>
        <w:tab/>
      </w:r>
      <w:r>
        <w:rPr>
          <w:noProof/>
        </w:rPr>
        <w:fldChar w:fldCharType="begin"/>
      </w:r>
      <w:r>
        <w:rPr>
          <w:noProof/>
        </w:rPr>
        <w:instrText xml:space="preserve"> PAGEREF _Toc7200486 \h </w:instrText>
      </w:r>
      <w:r>
        <w:rPr>
          <w:noProof/>
        </w:rPr>
      </w:r>
      <w:r>
        <w:rPr>
          <w:noProof/>
        </w:rPr>
        <w:fldChar w:fldCharType="separate"/>
      </w:r>
      <w:r>
        <w:rPr>
          <w:noProof/>
        </w:rPr>
        <w:t>5</w:t>
      </w:r>
      <w:r>
        <w:rPr>
          <w:noProof/>
        </w:rPr>
        <w:fldChar w:fldCharType="end"/>
      </w:r>
    </w:p>
    <w:p w14:paraId="17997D2A" w14:textId="5CDA081F"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3.1</w:t>
      </w:r>
      <w:r>
        <w:rPr>
          <w:rFonts w:asciiTheme="minorHAnsi" w:eastAsiaTheme="minorEastAsia" w:hAnsiTheme="minorHAnsi" w:cstheme="minorBidi"/>
          <w:noProof/>
          <w:sz w:val="24"/>
          <w:lang w:val="en-US"/>
        </w:rPr>
        <w:tab/>
      </w:r>
      <w:r w:rsidRPr="0012651A">
        <w:rPr>
          <w:noProof/>
        </w:rPr>
        <w:t>Footpaths</w:t>
      </w:r>
      <w:r>
        <w:rPr>
          <w:noProof/>
        </w:rPr>
        <w:tab/>
      </w:r>
      <w:r>
        <w:rPr>
          <w:noProof/>
        </w:rPr>
        <w:fldChar w:fldCharType="begin"/>
      </w:r>
      <w:r>
        <w:rPr>
          <w:noProof/>
        </w:rPr>
        <w:instrText xml:space="preserve"> PAGEREF _Toc7200487 \h </w:instrText>
      </w:r>
      <w:r>
        <w:rPr>
          <w:noProof/>
        </w:rPr>
      </w:r>
      <w:r>
        <w:rPr>
          <w:noProof/>
        </w:rPr>
        <w:fldChar w:fldCharType="separate"/>
      </w:r>
      <w:r>
        <w:rPr>
          <w:noProof/>
        </w:rPr>
        <w:t>5</w:t>
      </w:r>
      <w:r>
        <w:rPr>
          <w:noProof/>
        </w:rPr>
        <w:fldChar w:fldCharType="end"/>
      </w:r>
    </w:p>
    <w:p w14:paraId="76637F7C" w14:textId="4B5D5782"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Pr>
          <w:noProof/>
        </w:rPr>
        <w:t>3.2</w:t>
      </w:r>
      <w:r>
        <w:rPr>
          <w:rFonts w:asciiTheme="minorHAnsi" w:eastAsiaTheme="minorEastAsia" w:hAnsiTheme="minorHAnsi" w:cstheme="minorBidi"/>
          <w:noProof/>
          <w:sz w:val="24"/>
          <w:lang w:val="en-US"/>
        </w:rPr>
        <w:tab/>
      </w:r>
      <w:r>
        <w:rPr>
          <w:noProof/>
        </w:rPr>
        <w:t>Cycle facilities</w:t>
      </w:r>
      <w:r>
        <w:rPr>
          <w:noProof/>
        </w:rPr>
        <w:tab/>
      </w:r>
      <w:r>
        <w:rPr>
          <w:noProof/>
        </w:rPr>
        <w:fldChar w:fldCharType="begin"/>
      </w:r>
      <w:r>
        <w:rPr>
          <w:noProof/>
        </w:rPr>
        <w:instrText xml:space="preserve"> PAGEREF _Toc7200488 \h </w:instrText>
      </w:r>
      <w:r>
        <w:rPr>
          <w:noProof/>
        </w:rPr>
      </w:r>
      <w:r>
        <w:rPr>
          <w:noProof/>
        </w:rPr>
        <w:fldChar w:fldCharType="separate"/>
      </w:r>
      <w:r>
        <w:rPr>
          <w:noProof/>
        </w:rPr>
        <w:t>7</w:t>
      </w:r>
      <w:r>
        <w:rPr>
          <w:noProof/>
        </w:rPr>
        <w:fldChar w:fldCharType="end"/>
      </w:r>
    </w:p>
    <w:p w14:paraId="621E9FF8" w14:textId="2C20B447"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3.3</w:t>
      </w:r>
      <w:r>
        <w:rPr>
          <w:rFonts w:asciiTheme="minorHAnsi" w:eastAsiaTheme="minorEastAsia" w:hAnsiTheme="minorHAnsi" w:cstheme="minorBidi"/>
          <w:noProof/>
          <w:sz w:val="24"/>
          <w:lang w:val="en-US"/>
        </w:rPr>
        <w:tab/>
      </w:r>
      <w:r w:rsidRPr="0012651A">
        <w:rPr>
          <w:noProof/>
        </w:rPr>
        <w:t>Pedestrian crossings</w:t>
      </w:r>
      <w:r>
        <w:rPr>
          <w:noProof/>
        </w:rPr>
        <w:tab/>
      </w:r>
      <w:r>
        <w:rPr>
          <w:noProof/>
        </w:rPr>
        <w:fldChar w:fldCharType="begin"/>
      </w:r>
      <w:r>
        <w:rPr>
          <w:noProof/>
        </w:rPr>
        <w:instrText xml:space="preserve"> PAGEREF _Toc7200489 \h </w:instrText>
      </w:r>
      <w:r>
        <w:rPr>
          <w:noProof/>
        </w:rPr>
      </w:r>
      <w:r>
        <w:rPr>
          <w:noProof/>
        </w:rPr>
        <w:fldChar w:fldCharType="separate"/>
      </w:r>
      <w:r>
        <w:rPr>
          <w:noProof/>
        </w:rPr>
        <w:t>7</w:t>
      </w:r>
      <w:r>
        <w:rPr>
          <w:noProof/>
        </w:rPr>
        <w:fldChar w:fldCharType="end"/>
      </w:r>
    </w:p>
    <w:p w14:paraId="4BEBEAE6" w14:textId="17093365"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3.4</w:t>
      </w:r>
      <w:r>
        <w:rPr>
          <w:rFonts w:asciiTheme="minorHAnsi" w:eastAsiaTheme="minorEastAsia" w:hAnsiTheme="minorHAnsi" w:cstheme="minorBidi"/>
          <w:noProof/>
          <w:sz w:val="24"/>
          <w:lang w:val="en-US"/>
        </w:rPr>
        <w:tab/>
      </w:r>
      <w:r w:rsidRPr="0012651A">
        <w:rPr>
          <w:noProof/>
        </w:rPr>
        <w:t>Parking management</w:t>
      </w:r>
      <w:r>
        <w:rPr>
          <w:noProof/>
        </w:rPr>
        <w:tab/>
      </w:r>
      <w:r>
        <w:rPr>
          <w:noProof/>
        </w:rPr>
        <w:fldChar w:fldCharType="begin"/>
      </w:r>
      <w:r>
        <w:rPr>
          <w:noProof/>
        </w:rPr>
        <w:instrText xml:space="preserve"> PAGEREF _Toc7200490 \h </w:instrText>
      </w:r>
      <w:r>
        <w:rPr>
          <w:noProof/>
        </w:rPr>
      </w:r>
      <w:r>
        <w:rPr>
          <w:noProof/>
        </w:rPr>
        <w:fldChar w:fldCharType="separate"/>
      </w:r>
      <w:r>
        <w:rPr>
          <w:noProof/>
        </w:rPr>
        <w:t>8</w:t>
      </w:r>
      <w:r>
        <w:rPr>
          <w:noProof/>
        </w:rPr>
        <w:fldChar w:fldCharType="end"/>
      </w:r>
    </w:p>
    <w:p w14:paraId="349F526C" w14:textId="64DC165E"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3.5</w:t>
      </w:r>
      <w:r>
        <w:rPr>
          <w:rFonts w:asciiTheme="minorHAnsi" w:eastAsiaTheme="minorEastAsia" w:hAnsiTheme="minorHAnsi" w:cstheme="minorBidi"/>
          <w:noProof/>
          <w:sz w:val="24"/>
          <w:lang w:val="en-US"/>
        </w:rPr>
        <w:tab/>
      </w:r>
      <w:r w:rsidRPr="0012651A">
        <w:rPr>
          <w:noProof/>
        </w:rPr>
        <w:t>Street lighting</w:t>
      </w:r>
      <w:r>
        <w:rPr>
          <w:noProof/>
        </w:rPr>
        <w:tab/>
      </w:r>
      <w:r>
        <w:rPr>
          <w:noProof/>
        </w:rPr>
        <w:fldChar w:fldCharType="begin"/>
      </w:r>
      <w:r>
        <w:rPr>
          <w:noProof/>
        </w:rPr>
        <w:instrText xml:space="preserve"> PAGEREF _Toc7200491 \h </w:instrText>
      </w:r>
      <w:r>
        <w:rPr>
          <w:noProof/>
        </w:rPr>
      </w:r>
      <w:r>
        <w:rPr>
          <w:noProof/>
        </w:rPr>
        <w:fldChar w:fldCharType="separate"/>
      </w:r>
      <w:r>
        <w:rPr>
          <w:noProof/>
        </w:rPr>
        <w:t>9</w:t>
      </w:r>
      <w:r>
        <w:rPr>
          <w:noProof/>
        </w:rPr>
        <w:fldChar w:fldCharType="end"/>
      </w:r>
    </w:p>
    <w:p w14:paraId="5F29BD0B" w14:textId="06A1808A"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3.6</w:t>
      </w:r>
      <w:r>
        <w:rPr>
          <w:rFonts w:asciiTheme="minorHAnsi" w:eastAsiaTheme="minorEastAsia" w:hAnsiTheme="minorHAnsi" w:cstheme="minorBidi"/>
          <w:noProof/>
          <w:sz w:val="24"/>
          <w:lang w:val="en-US"/>
        </w:rPr>
        <w:tab/>
      </w:r>
      <w:r w:rsidRPr="0012651A">
        <w:rPr>
          <w:noProof/>
        </w:rPr>
        <w:t>Storm water management</w:t>
      </w:r>
      <w:r>
        <w:rPr>
          <w:noProof/>
        </w:rPr>
        <w:tab/>
      </w:r>
      <w:r>
        <w:rPr>
          <w:noProof/>
        </w:rPr>
        <w:fldChar w:fldCharType="begin"/>
      </w:r>
      <w:r>
        <w:rPr>
          <w:noProof/>
        </w:rPr>
        <w:instrText xml:space="preserve"> PAGEREF _Toc7200492 \h </w:instrText>
      </w:r>
      <w:r>
        <w:rPr>
          <w:noProof/>
        </w:rPr>
      </w:r>
      <w:r>
        <w:rPr>
          <w:noProof/>
        </w:rPr>
        <w:fldChar w:fldCharType="separate"/>
      </w:r>
      <w:r>
        <w:rPr>
          <w:noProof/>
        </w:rPr>
        <w:t>10</w:t>
      </w:r>
      <w:r>
        <w:rPr>
          <w:noProof/>
        </w:rPr>
        <w:fldChar w:fldCharType="end"/>
      </w:r>
    </w:p>
    <w:p w14:paraId="5F463798" w14:textId="64D32A63" w:rsidR="00BE069D" w:rsidRDefault="00BE069D">
      <w:pPr>
        <w:pStyle w:val="TOC1"/>
        <w:rPr>
          <w:rFonts w:asciiTheme="minorHAnsi" w:eastAsiaTheme="minorEastAsia" w:hAnsiTheme="minorHAnsi" w:cstheme="minorBidi"/>
          <w:noProof/>
          <w:sz w:val="24"/>
          <w:szCs w:val="24"/>
          <w:lang w:val="en-US"/>
        </w:rPr>
      </w:pPr>
      <w:r>
        <w:rPr>
          <w:noProof/>
        </w:rPr>
        <w:t>4.</w:t>
      </w:r>
      <w:r>
        <w:rPr>
          <w:rFonts w:asciiTheme="minorHAnsi" w:eastAsiaTheme="minorEastAsia" w:hAnsiTheme="minorHAnsi" w:cstheme="minorBidi"/>
          <w:noProof/>
          <w:sz w:val="24"/>
          <w:szCs w:val="24"/>
          <w:lang w:val="en-US"/>
        </w:rPr>
        <w:tab/>
      </w:r>
      <w:r>
        <w:rPr>
          <w:noProof/>
        </w:rPr>
        <w:t>Road safety</w:t>
      </w:r>
      <w:r>
        <w:rPr>
          <w:noProof/>
        </w:rPr>
        <w:tab/>
      </w:r>
      <w:r>
        <w:rPr>
          <w:noProof/>
        </w:rPr>
        <w:fldChar w:fldCharType="begin"/>
      </w:r>
      <w:r>
        <w:rPr>
          <w:noProof/>
        </w:rPr>
        <w:instrText xml:space="preserve"> PAGEREF _Toc7200493 \h </w:instrText>
      </w:r>
      <w:r>
        <w:rPr>
          <w:noProof/>
        </w:rPr>
      </w:r>
      <w:r>
        <w:rPr>
          <w:noProof/>
        </w:rPr>
        <w:fldChar w:fldCharType="separate"/>
      </w:r>
      <w:r>
        <w:rPr>
          <w:noProof/>
        </w:rPr>
        <w:t>11</w:t>
      </w:r>
      <w:r>
        <w:rPr>
          <w:noProof/>
        </w:rPr>
        <w:fldChar w:fldCharType="end"/>
      </w:r>
    </w:p>
    <w:p w14:paraId="23CFB1F0" w14:textId="4AD35E2B" w:rsidR="00BE069D" w:rsidRDefault="00BE069D">
      <w:pPr>
        <w:pStyle w:val="TOC1"/>
        <w:rPr>
          <w:rFonts w:asciiTheme="minorHAnsi" w:eastAsiaTheme="minorEastAsia" w:hAnsiTheme="minorHAnsi" w:cstheme="minorBidi"/>
          <w:noProof/>
          <w:sz w:val="24"/>
          <w:szCs w:val="24"/>
          <w:lang w:val="en-US"/>
        </w:rPr>
      </w:pPr>
      <w:r>
        <w:rPr>
          <w:noProof/>
        </w:rPr>
        <w:t>5.</w:t>
      </w:r>
      <w:r>
        <w:rPr>
          <w:rFonts w:asciiTheme="minorHAnsi" w:eastAsiaTheme="minorEastAsia" w:hAnsiTheme="minorHAnsi" w:cstheme="minorBidi"/>
          <w:noProof/>
          <w:sz w:val="24"/>
          <w:szCs w:val="24"/>
          <w:lang w:val="en-US"/>
        </w:rPr>
        <w:tab/>
      </w:r>
      <w:r>
        <w:rPr>
          <w:noProof/>
        </w:rPr>
        <w:t>Assessment of the institutional &amp; legal framework</w:t>
      </w:r>
      <w:r>
        <w:rPr>
          <w:noProof/>
        </w:rPr>
        <w:tab/>
      </w:r>
      <w:r>
        <w:rPr>
          <w:noProof/>
        </w:rPr>
        <w:fldChar w:fldCharType="begin"/>
      </w:r>
      <w:r>
        <w:rPr>
          <w:noProof/>
        </w:rPr>
        <w:instrText xml:space="preserve"> PAGEREF _Toc7200494 \h </w:instrText>
      </w:r>
      <w:r>
        <w:rPr>
          <w:noProof/>
        </w:rPr>
      </w:r>
      <w:r>
        <w:rPr>
          <w:noProof/>
        </w:rPr>
        <w:fldChar w:fldCharType="separate"/>
      </w:r>
      <w:r>
        <w:rPr>
          <w:noProof/>
        </w:rPr>
        <w:t>12</w:t>
      </w:r>
      <w:r>
        <w:rPr>
          <w:noProof/>
        </w:rPr>
        <w:fldChar w:fldCharType="end"/>
      </w:r>
    </w:p>
    <w:p w14:paraId="71EA175B" w14:textId="1CFE3E36"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5.1</w:t>
      </w:r>
      <w:r>
        <w:rPr>
          <w:rFonts w:asciiTheme="minorHAnsi" w:eastAsiaTheme="minorEastAsia" w:hAnsiTheme="minorHAnsi" w:cstheme="minorBidi"/>
          <w:noProof/>
          <w:sz w:val="24"/>
          <w:lang w:val="en-US"/>
        </w:rPr>
        <w:tab/>
      </w:r>
      <w:r w:rsidRPr="0012651A">
        <w:rPr>
          <w:noProof/>
        </w:rPr>
        <w:t>Institutional structure</w:t>
      </w:r>
      <w:r>
        <w:rPr>
          <w:noProof/>
        </w:rPr>
        <w:tab/>
      </w:r>
      <w:r>
        <w:rPr>
          <w:noProof/>
        </w:rPr>
        <w:fldChar w:fldCharType="begin"/>
      </w:r>
      <w:r>
        <w:rPr>
          <w:noProof/>
        </w:rPr>
        <w:instrText xml:space="preserve"> PAGEREF _Toc7200495 \h </w:instrText>
      </w:r>
      <w:r>
        <w:rPr>
          <w:noProof/>
        </w:rPr>
      </w:r>
      <w:r>
        <w:rPr>
          <w:noProof/>
        </w:rPr>
        <w:fldChar w:fldCharType="separate"/>
      </w:r>
      <w:r>
        <w:rPr>
          <w:noProof/>
        </w:rPr>
        <w:t>12</w:t>
      </w:r>
      <w:r>
        <w:rPr>
          <w:noProof/>
        </w:rPr>
        <w:fldChar w:fldCharType="end"/>
      </w:r>
    </w:p>
    <w:p w14:paraId="3C8EEFBA" w14:textId="0616101E"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5.2</w:t>
      </w:r>
      <w:r>
        <w:rPr>
          <w:rFonts w:asciiTheme="minorHAnsi" w:eastAsiaTheme="minorEastAsia" w:hAnsiTheme="minorHAnsi" w:cstheme="minorBidi"/>
          <w:noProof/>
          <w:sz w:val="24"/>
          <w:lang w:val="en-US"/>
        </w:rPr>
        <w:tab/>
      </w:r>
      <w:r w:rsidRPr="0012651A">
        <w:rPr>
          <w:noProof/>
        </w:rPr>
        <w:t>Policies and legislation</w:t>
      </w:r>
      <w:r>
        <w:rPr>
          <w:noProof/>
        </w:rPr>
        <w:tab/>
      </w:r>
      <w:r>
        <w:rPr>
          <w:noProof/>
        </w:rPr>
        <w:fldChar w:fldCharType="begin"/>
      </w:r>
      <w:r>
        <w:rPr>
          <w:noProof/>
        </w:rPr>
        <w:instrText xml:space="preserve"> PAGEREF _Toc7200496 \h </w:instrText>
      </w:r>
      <w:r>
        <w:rPr>
          <w:noProof/>
        </w:rPr>
      </w:r>
      <w:r>
        <w:rPr>
          <w:noProof/>
        </w:rPr>
        <w:fldChar w:fldCharType="separate"/>
      </w:r>
      <w:r>
        <w:rPr>
          <w:noProof/>
        </w:rPr>
        <w:t>13</w:t>
      </w:r>
      <w:r>
        <w:rPr>
          <w:noProof/>
        </w:rPr>
        <w:fldChar w:fldCharType="end"/>
      </w:r>
    </w:p>
    <w:p w14:paraId="528F7B2D" w14:textId="63050225"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Pr>
          <w:noProof/>
        </w:rPr>
        <w:t>5.3</w:t>
      </w:r>
      <w:r>
        <w:rPr>
          <w:rFonts w:asciiTheme="minorHAnsi" w:eastAsiaTheme="minorEastAsia" w:hAnsiTheme="minorHAnsi" w:cstheme="minorBidi"/>
          <w:noProof/>
          <w:sz w:val="24"/>
          <w:lang w:val="en-US"/>
        </w:rPr>
        <w:tab/>
      </w:r>
      <w:r>
        <w:rPr>
          <w:noProof/>
        </w:rPr>
        <w:t>Import tariffs</w:t>
      </w:r>
      <w:r>
        <w:rPr>
          <w:noProof/>
        </w:rPr>
        <w:tab/>
      </w:r>
      <w:r>
        <w:rPr>
          <w:noProof/>
        </w:rPr>
        <w:fldChar w:fldCharType="begin"/>
      </w:r>
      <w:r>
        <w:rPr>
          <w:noProof/>
        </w:rPr>
        <w:instrText xml:space="preserve"> PAGEREF _Toc7200497 \h </w:instrText>
      </w:r>
      <w:r>
        <w:rPr>
          <w:noProof/>
        </w:rPr>
      </w:r>
      <w:r>
        <w:rPr>
          <w:noProof/>
        </w:rPr>
        <w:fldChar w:fldCharType="separate"/>
      </w:r>
      <w:r>
        <w:rPr>
          <w:noProof/>
        </w:rPr>
        <w:t>14</w:t>
      </w:r>
      <w:r>
        <w:rPr>
          <w:noProof/>
        </w:rPr>
        <w:fldChar w:fldCharType="end"/>
      </w:r>
    </w:p>
    <w:p w14:paraId="6575478F" w14:textId="754080CC" w:rsidR="00BE069D" w:rsidRDefault="00BE069D">
      <w:pPr>
        <w:pStyle w:val="TOC1"/>
        <w:rPr>
          <w:rFonts w:asciiTheme="minorHAnsi" w:eastAsiaTheme="minorEastAsia" w:hAnsiTheme="minorHAnsi" w:cstheme="minorBidi"/>
          <w:noProof/>
          <w:sz w:val="24"/>
          <w:szCs w:val="24"/>
          <w:lang w:val="en-US"/>
        </w:rPr>
      </w:pPr>
      <w:r>
        <w:rPr>
          <w:noProof/>
        </w:rPr>
        <w:t>6.</w:t>
      </w:r>
      <w:r>
        <w:rPr>
          <w:rFonts w:asciiTheme="minorHAnsi" w:eastAsiaTheme="minorEastAsia" w:hAnsiTheme="minorHAnsi" w:cstheme="minorBidi"/>
          <w:noProof/>
          <w:sz w:val="24"/>
          <w:szCs w:val="24"/>
          <w:lang w:val="en-US"/>
        </w:rPr>
        <w:tab/>
      </w:r>
      <w:r>
        <w:rPr>
          <w:noProof/>
        </w:rPr>
        <w:t>Assessment of design standards &amp; highway code</w:t>
      </w:r>
      <w:r>
        <w:rPr>
          <w:noProof/>
        </w:rPr>
        <w:tab/>
      </w:r>
      <w:r>
        <w:rPr>
          <w:noProof/>
        </w:rPr>
        <w:fldChar w:fldCharType="begin"/>
      </w:r>
      <w:r>
        <w:rPr>
          <w:noProof/>
        </w:rPr>
        <w:instrText xml:space="preserve"> PAGEREF _Toc7200498 \h </w:instrText>
      </w:r>
      <w:r>
        <w:rPr>
          <w:noProof/>
        </w:rPr>
      </w:r>
      <w:r>
        <w:rPr>
          <w:noProof/>
        </w:rPr>
        <w:fldChar w:fldCharType="separate"/>
      </w:r>
      <w:r>
        <w:rPr>
          <w:noProof/>
        </w:rPr>
        <w:t>14</w:t>
      </w:r>
      <w:r>
        <w:rPr>
          <w:noProof/>
        </w:rPr>
        <w:fldChar w:fldCharType="end"/>
      </w:r>
    </w:p>
    <w:p w14:paraId="5F472D76" w14:textId="4D4D1C91"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6.1</w:t>
      </w:r>
      <w:r>
        <w:rPr>
          <w:rFonts w:asciiTheme="minorHAnsi" w:eastAsiaTheme="minorEastAsia" w:hAnsiTheme="minorHAnsi" w:cstheme="minorBidi"/>
          <w:noProof/>
          <w:sz w:val="24"/>
          <w:lang w:val="en-US"/>
        </w:rPr>
        <w:tab/>
      </w:r>
      <w:r w:rsidR="001D6A09" w:rsidRPr="001D6A09">
        <w:rPr>
          <w:rFonts w:eastAsiaTheme="minorEastAsia"/>
          <w:noProof/>
          <w:szCs w:val="22"/>
          <w:lang w:val="en-US"/>
        </w:rPr>
        <w:t>Assessment of design standards &amp; highway code</w:t>
      </w:r>
      <w:r>
        <w:rPr>
          <w:noProof/>
        </w:rPr>
        <w:tab/>
      </w:r>
      <w:r>
        <w:rPr>
          <w:noProof/>
        </w:rPr>
        <w:fldChar w:fldCharType="begin"/>
      </w:r>
      <w:r>
        <w:rPr>
          <w:noProof/>
        </w:rPr>
        <w:instrText xml:space="preserve"> PAGEREF _Toc7200499 \h </w:instrText>
      </w:r>
      <w:r>
        <w:rPr>
          <w:noProof/>
        </w:rPr>
      </w:r>
      <w:r>
        <w:rPr>
          <w:noProof/>
        </w:rPr>
        <w:fldChar w:fldCharType="separate"/>
      </w:r>
      <w:r>
        <w:rPr>
          <w:noProof/>
        </w:rPr>
        <w:t>14</w:t>
      </w:r>
      <w:r>
        <w:rPr>
          <w:noProof/>
        </w:rPr>
        <w:fldChar w:fldCharType="end"/>
      </w:r>
    </w:p>
    <w:p w14:paraId="6E22B08D" w14:textId="58ADF425" w:rsidR="00BE069D" w:rsidRDefault="00BE069D" w:rsidP="001D6A09">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6.2</w:t>
      </w:r>
      <w:r>
        <w:rPr>
          <w:rFonts w:asciiTheme="minorHAnsi" w:eastAsiaTheme="minorEastAsia" w:hAnsiTheme="minorHAnsi" w:cstheme="minorBidi"/>
          <w:noProof/>
          <w:sz w:val="24"/>
          <w:lang w:val="en-US"/>
        </w:rPr>
        <w:tab/>
      </w:r>
      <w:r w:rsidR="001D6A09">
        <w:rPr>
          <w:noProof/>
        </w:rPr>
        <w:t>Land use regulations</w:t>
      </w:r>
      <w:r>
        <w:rPr>
          <w:noProof/>
        </w:rPr>
        <w:tab/>
      </w:r>
      <w:r>
        <w:rPr>
          <w:noProof/>
        </w:rPr>
        <w:fldChar w:fldCharType="begin"/>
      </w:r>
      <w:r>
        <w:rPr>
          <w:noProof/>
        </w:rPr>
        <w:instrText xml:space="preserve"> PAGEREF _Toc7200500 \h </w:instrText>
      </w:r>
      <w:r>
        <w:rPr>
          <w:noProof/>
        </w:rPr>
      </w:r>
      <w:r>
        <w:rPr>
          <w:noProof/>
        </w:rPr>
        <w:fldChar w:fldCharType="separate"/>
      </w:r>
      <w:r>
        <w:rPr>
          <w:noProof/>
        </w:rPr>
        <w:t>14</w:t>
      </w:r>
      <w:r>
        <w:rPr>
          <w:noProof/>
        </w:rPr>
        <w:fldChar w:fldCharType="end"/>
      </w:r>
    </w:p>
    <w:p w14:paraId="43DBF1BB" w14:textId="49382BA4" w:rsidR="00BE069D" w:rsidRDefault="00BE069D">
      <w:pPr>
        <w:pStyle w:val="TOC1"/>
        <w:rPr>
          <w:rFonts w:asciiTheme="minorHAnsi" w:eastAsiaTheme="minorEastAsia" w:hAnsiTheme="minorHAnsi" w:cstheme="minorBidi"/>
          <w:noProof/>
          <w:sz w:val="24"/>
          <w:szCs w:val="24"/>
          <w:lang w:val="en-US"/>
        </w:rPr>
      </w:pPr>
      <w:r>
        <w:rPr>
          <w:noProof/>
        </w:rPr>
        <w:t>7.</w:t>
      </w:r>
      <w:r>
        <w:rPr>
          <w:rFonts w:asciiTheme="minorHAnsi" w:eastAsiaTheme="minorEastAsia" w:hAnsiTheme="minorHAnsi" w:cstheme="minorBidi"/>
          <w:noProof/>
          <w:sz w:val="24"/>
          <w:szCs w:val="24"/>
          <w:lang w:val="en-US"/>
        </w:rPr>
        <w:tab/>
      </w:r>
      <w:r>
        <w:rPr>
          <w:noProof/>
        </w:rPr>
        <w:t>Guiding principles for the NMT Strategy</w:t>
      </w:r>
      <w:r>
        <w:rPr>
          <w:noProof/>
        </w:rPr>
        <w:tab/>
      </w:r>
      <w:r>
        <w:rPr>
          <w:noProof/>
        </w:rPr>
        <w:fldChar w:fldCharType="begin"/>
      </w:r>
      <w:r>
        <w:rPr>
          <w:noProof/>
        </w:rPr>
        <w:instrText xml:space="preserve"> PAGEREF _Toc7200502 \h </w:instrText>
      </w:r>
      <w:r>
        <w:rPr>
          <w:noProof/>
        </w:rPr>
      </w:r>
      <w:r>
        <w:rPr>
          <w:noProof/>
        </w:rPr>
        <w:fldChar w:fldCharType="separate"/>
      </w:r>
      <w:r>
        <w:rPr>
          <w:noProof/>
        </w:rPr>
        <w:t>15</w:t>
      </w:r>
      <w:r>
        <w:rPr>
          <w:noProof/>
        </w:rPr>
        <w:fldChar w:fldCharType="end"/>
      </w:r>
    </w:p>
    <w:p w14:paraId="67D56AF9" w14:textId="70167DF5"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Pr>
          <w:noProof/>
        </w:rPr>
        <w:t>7.1</w:t>
      </w:r>
      <w:r>
        <w:rPr>
          <w:rFonts w:asciiTheme="minorHAnsi" w:eastAsiaTheme="minorEastAsia" w:hAnsiTheme="minorHAnsi" w:cstheme="minorBidi"/>
          <w:noProof/>
          <w:sz w:val="24"/>
          <w:lang w:val="en-US"/>
        </w:rPr>
        <w:tab/>
      </w:r>
      <w:r>
        <w:rPr>
          <w:noProof/>
        </w:rPr>
        <w:t>Safety</w:t>
      </w:r>
      <w:r>
        <w:rPr>
          <w:noProof/>
        </w:rPr>
        <w:tab/>
      </w:r>
      <w:r>
        <w:rPr>
          <w:noProof/>
        </w:rPr>
        <w:fldChar w:fldCharType="begin"/>
      </w:r>
      <w:r>
        <w:rPr>
          <w:noProof/>
        </w:rPr>
        <w:instrText xml:space="preserve"> PAGEREF _Toc7200503 \h </w:instrText>
      </w:r>
      <w:r>
        <w:rPr>
          <w:noProof/>
        </w:rPr>
      </w:r>
      <w:r>
        <w:rPr>
          <w:noProof/>
        </w:rPr>
        <w:fldChar w:fldCharType="separate"/>
      </w:r>
      <w:r>
        <w:rPr>
          <w:noProof/>
        </w:rPr>
        <w:t>15</w:t>
      </w:r>
      <w:r>
        <w:rPr>
          <w:noProof/>
        </w:rPr>
        <w:fldChar w:fldCharType="end"/>
      </w:r>
    </w:p>
    <w:p w14:paraId="0175BCB6" w14:textId="12CD7CB1"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Pr>
          <w:noProof/>
        </w:rPr>
        <w:t>7.2</w:t>
      </w:r>
      <w:r>
        <w:rPr>
          <w:rFonts w:asciiTheme="minorHAnsi" w:eastAsiaTheme="minorEastAsia" w:hAnsiTheme="minorHAnsi" w:cstheme="minorBidi"/>
          <w:noProof/>
          <w:sz w:val="24"/>
          <w:lang w:val="en-US"/>
        </w:rPr>
        <w:tab/>
      </w:r>
      <w:r>
        <w:rPr>
          <w:noProof/>
        </w:rPr>
        <w:t>Universal access</w:t>
      </w:r>
      <w:r>
        <w:rPr>
          <w:noProof/>
        </w:rPr>
        <w:tab/>
      </w:r>
      <w:r>
        <w:rPr>
          <w:noProof/>
        </w:rPr>
        <w:fldChar w:fldCharType="begin"/>
      </w:r>
      <w:r>
        <w:rPr>
          <w:noProof/>
        </w:rPr>
        <w:instrText xml:space="preserve"> PAGEREF _Toc7200504 \h </w:instrText>
      </w:r>
      <w:r>
        <w:rPr>
          <w:noProof/>
        </w:rPr>
      </w:r>
      <w:r>
        <w:rPr>
          <w:noProof/>
        </w:rPr>
        <w:fldChar w:fldCharType="separate"/>
      </w:r>
      <w:r>
        <w:rPr>
          <w:noProof/>
        </w:rPr>
        <w:t>17</w:t>
      </w:r>
      <w:r>
        <w:rPr>
          <w:noProof/>
        </w:rPr>
        <w:fldChar w:fldCharType="end"/>
      </w:r>
    </w:p>
    <w:p w14:paraId="1CD534F6" w14:textId="5057BEF4"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Pr>
          <w:noProof/>
        </w:rPr>
        <w:t>7.3</w:t>
      </w:r>
      <w:r>
        <w:rPr>
          <w:rFonts w:asciiTheme="minorHAnsi" w:eastAsiaTheme="minorEastAsia" w:hAnsiTheme="minorHAnsi" w:cstheme="minorBidi"/>
          <w:noProof/>
          <w:sz w:val="24"/>
          <w:lang w:val="en-US"/>
        </w:rPr>
        <w:tab/>
      </w:r>
      <w:r>
        <w:rPr>
          <w:noProof/>
        </w:rPr>
        <w:t>Equity &amp; social justice</w:t>
      </w:r>
      <w:r>
        <w:rPr>
          <w:noProof/>
        </w:rPr>
        <w:tab/>
      </w:r>
      <w:r>
        <w:rPr>
          <w:noProof/>
        </w:rPr>
        <w:fldChar w:fldCharType="begin"/>
      </w:r>
      <w:r>
        <w:rPr>
          <w:noProof/>
        </w:rPr>
        <w:instrText xml:space="preserve"> PAGEREF _Toc7200505 \h </w:instrText>
      </w:r>
      <w:r>
        <w:rPr>
          <w:noProof/>
        </w:rPr>
      </w:r>
      <w:r>
        <w:rPr>
          <w:noProof/>
        </w:rPr>
        <w:fldChar w:fldCharType="separate"/>
      </w:r>
      <w:r>
        <w:rPr>
          <w:noProof/>
        </w:rPr>
        <w:t>17</w:t>
      </w:r>
      <w:r>
        <w:rPr>
          <w:noProof/>
        </w:rPr>
        <w:fldChar w:fldCharType="end"/>
      </w:r>
    </w:p>
    <w:p w14:paraId="3A5D869A" w14:textId="2400BB82"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Pr>
          <w:noProof/>
        </w:rPr>
        <w:t>7.4</w:t>
      </w:r>
      <w:r>
        <w:rPr>
          <w:rFonts w:asciiTheme="minorHAnsi" w:eastAsiaTheme="minorEastAsia" w:hAnsiTheme="minorHAnsi" w:cstheme="minorBidi"/>
          <w:noProof/>
          <w:sz w:val="24"/>
          <w:lang w:val="en-US"/>
        </w:rPr>
        <w:tab/>
      </w:r>
      <w:r>
        <w:rPr>
          <w:noProof/>
        </w:rPr>
        <w:t>Collaboration</w:t>
      </w:r>
      <w:r>
        <w:rPr>
          <w:noProof/>
        </w:rPr>
        <w:tab/>
      </w:r>
      <w:r>
        <w:rPr>
          <w:noProof/>
        </w:rPr>
        <w:fldChar w:fldCharType="begin"/>
      </w:r>
      <w:r>
        <w:rPr>
          <w:noProof/>
        </w:rPr>
        <w:instrText xml:space="preserve"> PAGEREF _Toc7200506 \h </w:instrText>
      </w:r>
      <w:r>
        <w:rPr>
          <w:noProof/>
        </w:rPr>
      </w:r>
      <w:r>
        <w:rPr>
          <w:noProof/>
        </w:rPr>
        <w:fldChar w:fldCharType="separate"/>
      </w:r>
      <w:r>
        <w:rPr>
          <w:noProof/>
        </w:rPr>
        <w:t>17</w:t>
      </w:r>
      <w:r>
        <w:rPr>
          <w:noProof/>
        </w:rPr>
        <w:fldChar w:fldCharType="end"/>
      </w:r>
    </w:p>
    <w:p w14:paraId="3101A0FE" w14:textId="50E56166"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Pr>
          <w:noProof/>
        </w:rPr>
        <w:t>7.5</w:t>
      </w:r>
      <w:r>
        <w:rPr>
          <w:rFonts w:asciiTheme="minorHAnsi" w:eastAsiaTheme="minorEastAsia" w:hAnsiTheme="minorHAnsi" w:cstheme="minorBidi"/>
          <w:noProof/>
          <w:sz w:val="24"/>
          <w:lang w:val="en-US"/>
        </w:rPr>
        <w:tab/>
      </w:r>
      <w:r>
        <w:rPr>
          <w:noProof/>
        </w:rPr>
        <w:t>Environmental sustainability</w:t>
      </w:r>
      <w:r>
        <w:rPr>
          <w:noProof/>
        </w:rPr>
        <w:tab/>
      </w:r>
      <w:r>
        <w:rPr>
          <w:noProof/>
        </w:rPr>
        <w:fldChar w:fldCharType="begin"/>
      </w:r>
      <w:r>
        <w:rPr>
          <w:noProof/>
        </w:rPr>
        <w:instrText xml:space="preserve"> PAGEREF _Toc7200507 \h </w:instrText>
      </w:r>
      <w:r>
        <w:rPr>
          <w:noProof/>
        </w:rPr>
      </w:r>
      <w:r>
        <w:rPr>
          <w:noProof/>
        </w:rPr>
        <w:fldChar w:fldCharType="separate"/>
      </w:r>
      <w:r>
        <w:rPr>
          <w:noProof/>
        </w:rPr>
        <w:t>17</w:t>
      </w:r>
      <w:r>
        <w:rPr>
          <w:noProof/>
        </w:rPr>
        <w:fldChar w:fldCharType="end"/>
      </w:r>
    </w:p>
    <w:p w14:paraId="268A06BE" w14:textId="10135292"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Pr>
          <w:noProof/>
        </w:rPr>
        <w:t>7.6</w:t>
      </w:r>
      <w:r>
        <w:rPr>
          <w:rFonts w:asciiTheme="minorHAnsi" w:eastAsiaTheme="minorEastAsia" w:hAnsiTheme="minorHAnsi" w:cstheme="minorBidi"/>
          <w:noProof/>
          <w:sz w:val="24"/>
          <w:lang w:val="en-US"/>
        </w:rPr>
        <w:tab/>
      </w:r>
      <w:r>
        <w:rPr>
          <w:noProof/>
        </w:rPr>
        <w:t>Accountability &amp; transparency</w:t>
      </w:r>
      <w:r>
        <w:rPr>
          <w:noProof/>
        </w:rPr>
        <w:tab/>
      </w:r>
      <w:r>
        <w:rPr>
          <w:noProof/>
        </w:rPr>
        <w:fldChar w:fldCharType="begin"/>
      </w:r>
      <w:r>
        <w:rPr>
          <w:noProof/>
        </w:rPr>
        <w:instrText xml:space="preserve"> PAGEREF _Toc7200508 \h </w:instrText>
      </w:r>
      <w:r>
        <w:rPr>
          <w:noProof/>
        </w:rPr>
      </w:r>
      <w:r>
        <w:rPr>
          <w:noProof/>
        </w:rPr>
        <w:fldChar w:fldCharType="separate"/>
      </w:r>
      <w:r>
        <w:rPr>
          <w:noProof/>
        </w:rPr>
        <w:t>17</w:t>
      </w:r>
      <w:r>
        <w:rPr>
          <w:noProof/>
        </w:rPr>
        <w:fldChar w:fldCharType="end"/>
      </w:r>
    </w:p>
    <w:p w14:paraId="18317208" w14:textId="6F4B2AEA" w:rsidR="00BE069D" w:rsidRDefault="00BE069D">
      <w:pPr>
        <w:pStyle w:val="TOC1"/>
        <w:rPr>
          <w:rFonts w:asciiTheme="minorHAnsi" w:eastAsiaTheme="minorEastAsia" w:hAnsiTheme="minorHAnsi" w:cstheme="minorBidi"/>
          <w:noProof/>
          <w:sz w:val="24"/>
          <w:szCs w:val="24"/>
          <w:lang w:val="en-US"/>
        </w:rPr>
      </w:pPr>
      <w:r>
        <w:rPr>
          <w:noProof/>
        </w:rPr>
        <w:t>8.</w:t>
      </w:r>
      <w:r>
        <w:rPr>
          <w:rFonts w:asciiTheme="minorHAnsi" w:eastAsiaTheme="minorEastAsia" w:hAnsiTheme="minorHAnsi" w:cstheme="minorBidi"/>
          <w:noProof/>
          <w:sz w:val="24"/>
          <w:szCs w:val="24"/>
          <w:lang w:val="en-US"/>
        </w:rPr>
        <w:tab/>
      </w:r>
      <w:r>
        <w:rPr>
          <w:noProof/>
        </w:rPr>
        <w:t>Vision and goals</w:t>
      </w:r>
      <w:r>
        <w:rPr>
          <w:noProof/>
        </w:rPr>
        <w:tab/>
      </w:r>
      <w:r>
        <w:rPr>
          <w:noProof/>
        </w:rPr>
        <w:fldChar w:fldCharType="begin"/>
      </w:r>
      <w:r>
        <w:rPr>
          <w:noProof/>
        </w:rPr>
        <w:instrText xml:space="preserve"> PAGEREF _Toc7200509 \h </w:instrText>
      </w:r>
      <w:r>
        <w:rPr>
          <w:noProof/>
        </w:rPr>
      </w:r>
      <w:r>
        <w:rPr>
          <w:noProof/>
        </w:rPr>
        <w:fldChar w:fldCharType="separate"/>
      </w:r>
      <w:r>
        <w:rPr>
          <w:noProof/>
        </w:rPr>
        <w:t>18</w:t>
      </w:r>
      <w:r>
        <w:rPr>
          <w:noProof/>
        </w:rPr>
        <w:fldChar w:fldCharType="end"/>
      </w:r>
    </w:p>
    <w:p w14:paraId="3BF04990" w14:textId="49C5F0FC" w:rsidR="00BE069D" w:rsidRDefault="00BE069D">
      <w:pPr>
        <w:pStyle w:val="TOC1"/>
        <w:rPr>
          <w:rFonts w:asciiTheme="minorHAnsi" w:eastAsiaTheme="minorEastAsia" w:hAnsiTheme="minorHAnsi" w:cstheme="minorBidi"/>
          <w:noProof/>
          <w:sz w:val="24"/>
          <w:szCs w:val="24"/>
          <w:lang w:val="en-US"/>
        </w:rPr>
      </w:pPr>
      <w:r>
        <w:rPr>
          <w:noProof/>
        </w:rPr>
        <w:t>9.</w:t>
      </w:r>
      <w:r>
        <w:rPr>
          <w:rFonts w:asciiTheme="minorHAnsi" w:eastAsiaTheme="minorEastAsia" w:hAnsiTheme="minorHAnsi" w:cstheme="minorBidi"/>
          <w:noProof/>
          <w:sz w:val="24"/>
          <w:szCs w:val="24"/>
          <w:lang w:val="en-US"/>
        </w:rPr>
        <w:tab/>
      </w:r>
      <w:r>
        <w:rPr>
          <w:noProof/>
        </w:rPr>
        <w:t>NMT initiatives</w:t>
      </w:r>
      <w:r>
        <w:rPr>
          <w:noProof/>
        </w:rPr>
        <w:tab/>
      </w:r>
      <w:r>
        <w:rPr>
          <w:noProof/>
        </w:rPr>
        <w:fldChar w:fldCharType="begin"/>
      </w:r>
      <w:r>
        <w:rPr>
          <w:noProof/>
        </w:rPr>
        <w:instrText xml:space="preserve"> PAGEREF _Toc7200510 \h </w:instrText>
      </w:r>
      <w:r>
        <w:rPr>
          <w:noProof/>
        </w:rPr>
      </w:r>
      <w:r>
        <w:rPr>
          <w:noProof/>
        </w:rPr>
        <w:fldChar w:fldCharType="separate"/>
      </w:r>
      <w:r>
        <w:rPr>
          <w:noProof/>
        </w:rPr>
        <w:t>19</w:t>
      </w:r>
      <w:r>
        <w:rPr>
          <w:noProof/>
        </w:rPr>
        <w:fldChar w:fldCharType="end"/>
      </w:r>
    </w:p>
    <w:p w14:paraId="0C42FD0C" w14:textId="68EF9E80"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9.1</w:t>
      </w:r>
      <w:r>
        <w:rPr>
          <w:rFonts w:asciiTheme="minorHAnsi" w:eastAsiaTheme="minorEastAsia" w:hAnsiTheme="minorHAnsi" w:cstheme="minorBidi"/>
          <w:noProof/>
          <w:sz w:val="24"/>
          <w:lang w:val="en-US"/>
        </w:rPr>
        <w:tab/>
      </w:r>
      <w:r w:rsidRPr="0012651A">
        <w:rPr>
          <w:noProof/>
        </w:rPr>
        <w:t>Pedestrian network</w:t>
      </w:r>
      <w:r>
        <w:rPr>
          <w:noProof/>
        </w:rPr>
        <w:tab/>
      </w:r>
      <w:r>
        <w:rPr>
          <w:noProof/>
        </w:rPr>
        <w:fldChar w:fldCharType="begin"/>
      </w:r>
      <w:r>
        <w:rPr>
          <w:noProof/>
        </w:rPr>
        <w:instrText xml:space="preserve"> PAGEREF _Toc7200511 \h </w:instrText>
      </w:r>
      <w:r>
        <w:rPr>
          <w:noProof/>
        </w:rPr>
      </w:r>
      <w:r>
        <w:rPr>
          <w:noProof/>
        </w:rPr>
        <w:fldChar w:fldCharType="separate"/>
      </w:r>
      <w:r>
        <w:rPr>
          <w:noProof/>
        </w:rPr>
        <w:t>19</w:t>
      </w:r>
      <w:r>
        <w:rPr>
          <w:noProof/>
        </w:rPr>
        <w:fldChar w:fldCharType="end"/>
      </w:r>
    </w:p>
    <w:p w14:paraId="00F25FC6" w14:textId="11B73CB0"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9.2</w:t>
      </w:r>
      <w:r>
        <w:rPr>
          <w:rFonts w:asciiTheme="minorHAnsi" w:eastAsiaTheme="minorEastAsia" w:hAnsiTheme="minorHAnsi" w:cstheme="minorBidi"/>
          <w:noProof/>
          <w:sz w:val="24"/>
          <w:lang w:val="en-US"/>
        </w:rPr>
        <w:tab/>
      </w:r>
      <w:r w:rsidRPr="0012651A">
        <w:rPr>
          <w:noProof/>
        </w:rPr>
        <w:t>Bicycle network</w:t>
      </w:r>
      <w:r>
        <w:rPr>
          <w:noProof/>
        </w:rPr>
        <w:tab/>
      </w:r>
      <w:r>
        <w:rPr>
          <w:noProof/>
        </w:rPr>
        <w:fldChar w:fldCharType="begin"/>
      </w:r>
      <w:r>
        <w:rPr>
          <w:noProof/>
        </w:rPr>
        <w:instrText xml:space="preserve"> PAGEREF _Toc7200512 \h </w:instrText>
      </w:r>
      <w:r>
        <w:rPr>
          <w:noProof/>
        </w:rPr>
      </w:r>
      <w:r>
        <w:rPr>
          <w:noProof/>
        </w:rPr>
        <w:fldChar w:fldCharType="separate"/>
      </w:r>
      <w:r>
        <w:rPr>
          <w:noProof/>
        </w:rPr>
        <w:t>22</w:t>
      </w:r>
      <w:r>
        <w:rPr>
          <w:noProof/>
        </w:rPr>
        <w:fldChar w:fldCharType="end"/>
      </w:r>
    </w:p>
    <w:p w14:paraId="6D50DB0F" w14:textId="7C31187A"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9.3</w:t>
      </w:r>
      <w:r>
        <w:rPr>
          <w:rFonts w:asciiTheme="minorHAnsi" w:eastAsiaTheme="minorEastAsia" w:hAnsiTheme="minorHAnsi" w:cstheme="minorBidi"/>
          <w:noProof/>
          <w:sz w:val="24"/>
          <w:lang w:val="en-US"/>
        </w:rPr>
        <w:tab/>
      </w:r>
      <w:r w:rsidRPr="0012651A">
        <w:rPr>
          <w:noProof/>
        </w:rPr>
        <w:t>Greenway network</w:t>
      </w:r>
      <w:r>
        <w:rPr>
          <w:noProof/>
        </w:rPr>
        <w:tab/>
      </w:r>
      <w:r>
        <w:rPr>
          <w:noProof/>
        </w:rPr>
        <w:fldChar w:fldCharType="begin"/>
      </w:r>
      <w:r>
        <w:rPr>
          <w:noProof/>
        </w:rPr>
        <w:instrText xml:space="preserve"> PAGEREF _Toc7200513 \h </w:instrText>
      </w:r>
      <w:r>
        <w:rPr>
          <w:noProof/>
        </w:rPr>
      </w:r>
      <w:r>
        <w:rPr>
          <w:noProof/>
        </w:rPr>
        <w:fldChar w:fldCharType="separate"/>
      </w:r>
      <w:r>
        <w:rPr>
          <w:noProof/>
        </w:rPr>
        <w:t>23</w:t>
      </w:r>
      <w:r>
        <w:rPr>
          <w:noProof/>
        </w:rPr>
        <w:fldChar w:fldCharType="end"/>
      </w:r>
    </w:p>
    <w:p w14:paraId="51F0CE21" w14:textId="13335BEC"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9.4</w:t>
      </w:r>
      <w:r>
        <w:rPr>
          <w:rFonts w:asciiTheme="minorHAnsi" w:eastAsiaTheme="minorEastAsia" w:hAnsiTheme="minorHAnsi" w:cstheme="minorBidi"/>
          <w:noProof/>
          <w:sz w:val="24"/>
          <w:lang w:val="en-US"/>
        </w:rPr>
        <w:tab/>
      </w:r>
      <w:r w:rsidRPr="0012651A">
        <w:rPr>
          <w:noProof/>
        </w:rPr>
        <w:t>Child mobility &amp; health</w:t>
      </w:r>
      <w:r>
        <w:rPr>
          <w:noProof/>
        </w:rPr>
        <w:tab/>
      </w:r>
      <w:r>
        <w:rPr>
          <w:noProof/>
        </w:rPr>
        <w:fldChar w:fldCharType="begin"/>
      </w:r>
      <w:r>
        <w:rPr>
          <w:noProof/>
        </w:rPr>
        <w:instrText xml:space="preserve"> PAGEREF _Toc7200514 \h </w:instrText>
      </w:r>
      <w:r>
        <w:rPr>
          <w:noProof/>
        </w:rPr>
      </w:r>
      <w:r>
        <w:rPr>
          <w:noProof/>
        </w:rPr>
        <w:fldChar w:fldCharType="separate"/>
      </w:r>
      <w:r>
        <w:rPr>
          <w:noProof/>
        </w:rPr>
        <w:t>23</w:t>
      </w:r>
      <w:r>
        <w:rPr>
          <w:noProof/>
        </w:rPr>
        <w:fldChar w:fldCharType="end"/>
      </w:r>
    </w:p>
    <w:p w14:paraId="1E209AC9" w14:textId="4B8B23CB"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9.5</w:t>
      </w:r>
      <w:r>
        <w:rPr>
          <w:rFonts w:asciiTheme="minorHAnsi" w:eastAsiaTheme="minorEastAsia" w:hAnsiTheme="minorHAnsi" w:cstheme="minorBidi"/>
          <w:noProof/>
          <w:sz w:val="24"/>
          <w:lang w:val="en-US"/>
        </w:rPr>
        <w:tab/>
      </w:r>
      <w:r w:rsidRPr="0012651A">
        <w:rPr>
          <w:noProof/>
        </w:rPr>
        <w:t>Street lighting</w:t>
      </w:r>
      <w:r>
        <w:rPr>
          <w:noProof/>
        </w:rPr>
        <w:tab/>
      </w:r>
      <w:r>
        <w:rPr>
          <w:noProof/>
        </w:rPr>
        <w:fldChar w:fldCharType="begin"/>
      </w:r>
      <w:r>
        <w:rPr>
          <w:noProof/>
        </w:rPr>
        <w:instrText xml:space="preserve"> PAGEREF _Toc7200515 \h </w:instrText>
      </w:r>
      <w:r>
        <w:rPr>
          <w:noProof/>
        </w:rPr>
      </w:r>
      <w:r>
        <w:rPr>
          <w:noProof/>
        </w:rPr>
        <w:fldChar w:fldCharType="separate"/>
      </w:r>
      <w:r>
        <w:rPr>
          <w:noProof/>
        </w:rPr>
        <w:t>24</w:t>
      </w:r>
      <w:r>
        <w:rPr>
          <w:noProof/>
        </w:rPr>
        <w:fldChar w:fldCharType="end"/>
      </w:r>
    </w:p>
    <w:p w14:paraId="63DEDFD8" w14:textId="548B5878"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9.6</w:t>
      </w:r>
      <w:r>
        <w:rPr>
          <w:rFonts w:asciiTheme="minorHAnsi" w:eastAsiaTheme="minorEastAsia" w:hAnsiTheme="minorHAnsi" w:cstheme="minorBidi"/>
          <w:noProof/>
          <w:sz w:val="24"/>
          <w:lang w:val="en-US"/>
        </w:rPr>
        <w:tab/>
      </w:r>
      <w:r w:rsidRPr="0012651A">
        <w:rPr>
          <w:noProof/>
        </w:rPr>
        <w:t>Intersection improvements</w:t>
      </w:r>
      <w:r>
        <w:rPr>
          <w:noProof/>
        </w:rPr>
        <w:tab/>
      </w:r>
      <w:r>
        <w:rPr>
          <w:noProof/>
        </w:rPr>
        <w:fldChar w:fldCharType="begin"/>
      </w:r>
      <w:r>
        <w:rPr>
          <w:noProof/>
        </w:rPr>
        <w:instrText xml:space="preserve"> PAGEREF _Toc7200516 \h </w:instrText>
      </w:r>
      <w:r>
        <w:rPr>
          <w:noProof/>
        </w:rPr>
      </w:r>
      <w:r>
        <w:rPr>
          <w:noProof/>
        </w:rPr>
        <w:fldChar w:fldCharType="separate"/>
      </w:r>
      <w:r>
        <w:rPr>
          <w:noProof/>
        </w:rPr>
        <w:t>24</w:t>
      </w:r>
      <w:r>
        <w:rPr>
          <w:noProof/>
        </w:rPr>
        <w:fldChar w:fldCharType="end"/>
      </w:r>
    </w:p>
    <w:p w14:paraId="783E3E9A" w14:textId="13A91D71"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lastRenderedPageBreak/>
        <w:t>9.7</w:t>
      </w:r>
      <w:r>
        <w:rPr>
          <w:rFonts w:asciiTheme="minorHAnsi" w:eastAsiaTheme="minorEastAsia" w:hAnsiTheme="minorHAnsi" w:cstheme="minorBidi"/>
          <w:noProof/>
          <w:sz w:val="24"/>
          <w:lang w:val="en-US"/>
        </w:rPr>
        <w:tab/>
      </w:r>
      <w:r w:rsidRPr="0012651A">
        <w:rPr>
          <w:noProof/>
        </w:rPr>
        <w:t>Bicycle sharing</w:t>
      </w:r>
      <w:r>
        <w:rPr>
          <w:noProof/>
        </w:rPr>
        <w:tab/>
      </w:r>
      <w:r>
        <w:rPr>
          <w:noProof/>
        </w:rPr>
        <w:fldChar w:fldCharType="begin"/>
      </w:r>
      <w:r>
        <w:rPr>
          <w:noProof/>
        </w:rPr>
        <w:instrText xml:space="preserve"> PAGEREF _Toc7200517 \h </w:instrText>
      </w:r>
      <w:r>
        <w:rPr>
          <w:noProof/>
        </w:rPr>
      </w:r>
      <w:r>
        <w:rPr>
          <w:noProof/>
        </w:rPr>
        <w:fldChar w:fldCharType="separate"/>
      </w:r>
      <w:r>
        <w:rPr>
          <w:noProof/>
        </w:rPr>
        <w:t>26</w:t>
      </w:r>
      <w:r>
        <w:rPr>
          <w:noProof/>
        </w:rPr>
        <w:fldChar w:fldCharType="end"/>
      </w:r>
    </w:p>
    <w:p w14:paraId="06F491AF" w14:textId="67BD33E9"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9.8</w:t>
      </w:r>
      <w:r>
        <w:rPr>
          <w:rFonts w:asciiTheme="minorHAnsi" w:eastAsiaTheme="minorEastAsia" w:hAnsiTheme="minorHAnsi" w:cstheme="minorBidi"/>
          <w:noProof/>
          <w:sz w:val="24"/>
          <w:lang w:val="en-US"/>
        </w:rPr>
        <w:tab/>
      </w:r>
      <w:r w:rsidRPr="0012651A">
        <w:rPr>
          <w:noProof/>
        </w:rPr>
        <w:t>Review of street design standards</w:t>
      </w:r>
      <w:r>
        <w:rPr>
          <w:noProof/>
        </w:rPr>
        <w:tab/>
      </w:r>
      <w:r>
        <w:rPr>
          <w:noProof/>
        </w:rPr>
        <w:fldChar w:fldCharType="begin"/>
      </w:r>
      <w:r>
        <w:rPr>
          <w:noProof/>
        </w:rPr>
        <w:instrText xml:space="preserve"> PAGEREF _Toc7200518 \h </w:instrText>
      </w:r>
      <w:r>
        <w:rPr>
          <w:noProof/>
        </w:rPr>
      </w:r>
      <w:r>
        <w:rPr>
          <w:noProof/>
        </w:rPr>
        <w:fldChar w:fldCharType="separate"/>
      </w:r>
      <w:r>
        <w:rPr>
          <w:noProof/>
        </w:rPr>
        <w:t>28</w:t>
      </w:r>
      <w:r>
        <w:rPr>
          <w:noProof/>
        </w:rPr>
        <w:fldChar w:fldCharType="end"/>
      </w:r>
    </w:p>
    <w:p w14:paraId="6F85A43D" w14:textId="7500BB5C"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9.9</w:t>
      </w:r>
      <w:r>
        <w:rPr>
          <w:rFonts w:asciiTheme="minorHAnsi" w:eastAsiaTheme="minorEastAsia" w:hAnsiTheme="minorHAnsi" w:cstheme="minorBidi"/>
          <w:noProof/>
          <w:sz w:val="24"/>
          <w:lang w:val="en-US"/>
        </w:rPr>
        <w:tab/>
      </w:r>
      <w:r w:rsidRPr="0012651A">
        <w:rPr>
          <w:noProof/>
        </w:rPr>
        <w:t>Parking management</w:t>
      </w:r>
      <w:r>
        <w:rPr>
          <w:noProof/>
        </w:rPr>
        <w:tab/>
      </w:r>
      <w:r>
        <w:rPr>
          <w:noProof/>
        </w:rPr>
        <w:fldChar w:fldCharType="begin"/>
      </w:r>
      <w:r>
        <w:rPr>
          <w:noProof/>
        </w:rPr>
        <w:instrText xml:space="preserve"> PAGEREF _Toc7200519 \h </w:instrText>
      </w:r>
      <w:r>
        <w:rPr>
          <w:noProof/>
        </w:rPr>
      </w:r>
      <w:r>
        <w:rPr>
          <w:noProof/>
        </w:rPr>
        <w:fldChar w:fldCharType="separate"/>
      </w:r>
      <w:r>
        <w:rPr>
          <w:noProof/>
        </w:rPr>
        <w:t>28</w:t>
      </w:r>
      <w:r>
        <w:rPr>
          <w:noProof/>
        </w:rPr>
        <w:fldChar w:fldCharType="end"/>
      </w:r>
    </w:p>
    <w:p w14:paraId="74FAA4CE" w14:textId="033453DE"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9.10</w:t>
      </w:r>
      <w:r>
        <w:rPr>
          <w:rFonts w:asciiTheme="minorHAnsi" w:eastAsiaTheme="minorEastAsia" w:hAnsiTheme="minorHAnsi" w:cstheme="minorBidi"/>
          <w:noProof/>
          <w:sz w:val="24"/>
          <w:lang w:val="en-US"/>
        </w:rPr>
        <w:tab/>
      </w:r>
      <w:r w:rsidRPr="0012651A">
        <w:rPr>
          <w:noProof/>
        </w:rPr>
        <w:t>Vendor management</w:t>
      </w:r>
      <w:r>
        <w:rPr>
          <w:noProof/>
        </w:rPr>
        <w:tab/>
      </w:r>
      <w:r>
        <w:rPr>
          <w:noProof/>
        </w:rPr>
        <w:fldChar w:fldCharType="begin"/>
      </w:r>
      <w:r>
        <w:rPr>
          <w:noProof/>
        </w:rPr>
        <w:instrText xml:space="preserve"> PAGEREF _Toc7200520 \h </w:instrText>
      </w:r>
      <w:r>
        <w:rPr>
          <w:noProof/>
        </w:rPr>
      </w:r>
      <w:r>
        <w:rPr>
          <w:noProof/>
        </w:rPr>
        <w:fldChar w:fldCharType="separate"/>
      </w:r>
      <w:r>
        <w:rPr>
          <w:noProof/>
        </w:rPr>
        <w:t>30</w:t>
      </w:r>
      <w:r>
        <w:rPr>
          <w:noProof/>
        </w:rPr>
        <w:fldChar w:fldCharType="end"/>
      </w:r>
    </w:p>
    <w:p w14:paraId="4E915B5C" w14:textId="3EB37E76"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9.11</w:t>
      </w:r>
      <w:r>
        <w:rPr>
          <w:rFonts w:asciiTheme="minorHAnsi" w:eastAsiaTheme="minorEastAsia" w:hAnsiTheme="minorHAnsi" w:cstheme="minorBidi"/>
          <w:noProof/>
          <w:sz w:val="24"/>
          <w:lang w:val="en-US"/>
        </w:rPr>
        <w:tab/>
      </w:r>
      <w:r w:rsidRPr="0012651A">
        <w:rPr>
          <w:noProof/>
        </w:rPr>
        <w:t>Communications and outreach</w:t>
      </w:r>
      <w:r>
        <w:rPr>
          <w:noProof/>
        </w:rPr>
        <w:tab/>
      </w:r>
      <w:r>
        <w:rPr>
          <w:noProof/>
        </w:rPr>
        <w:fldChar w:fldCharType="begin"/>
      </w:r>
      <w:r>
        <w:rPr>
          <w:noProof/>
        </w:rPr>
        <w:instrText xml:space="preserve"> PAGEREF _Toc7200521 \h </w:instrText>
      </w:r>
      <w:r>
        <w:rPr>
          <w:noProof/>
        </w:rPr>
      </w:r>
      <w:r>
        <w:rPr>
          <w:noProof/>
        </w:rPr>
        <w:fldChar w:fldCharType="separate"/>
      </w:r>
      <w:r>
        <w:rPr>
          <w:noProof/>
        </w:rPr>
        <w:t>31</w:t>
      </w:r>
      <w:r>
        <w:rPr>
          <w:noProof/>
        </w:rPr>
        <w:fldChar w:fldCharType="end"/>
      </w:r>
    </w:p>
    <w:p w14:paraId="396AC13F" w14:textId="71C62AD5"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9.12</w:t>
      </w:r>
      <w:r>
        <w:rPr>
          <w:rFonts w:asciiTheme="minorHAnsi" w:eastAsiaTheme="minorEastAsia" w:hAnsiTheme="minorHAnsi" w:cstheme="minorBidi"/>
          <w:noProof/>
          <w:sz w:val="24"/>
          <w:lang w:val="en-US"/>
        </w:rPr>
        <w:tab/>
      </w:r>
      <w:r w:rsidRPr="0012651A">
        <w:rPr>
          <w:noProof/>
        </w:rPr>
        <w:t>Review of building control &amp; planning regulations</w:t>
      </w:r>
      <w:r>
        <w:rPr>
          <w:noProof/>
        </w:rPr>
        <w:tab/>
      </w:r>
      <w:r>
        <w:rPr>
          <w:noProof/>
        </w:rPr>
        <w:fldChar w:fldCharType="begin"/>
      </w:r>
      <w:r>
        <w:rPr>
          <w:noProof/>
        </w:rPr>
        <w:instrText xml:space="preserve"> PAGEREF _Toc7200522 \h </w:instrText>
      </w:r>
      <w:r>
        <w:rPr>
          <w:noProof/>
        </w:rPr>
      </w:r>
      <w:r>
        <w:rPr>
          <w:noProof/>
        </w:rPr>
        <w:fldChar w:fldCharType="separate"/>
      </w:r>
      <w:r>
        <w:rPr>
          <w:noProof/>
        </w:rPr>
        <w:t>32</w:t>
      </w:r>
      <w:r>
        <w:rPr>
          <w:noProof/>
        </w:rPr>
        <w:fldChar w:fldCharType="end"/>
      </w:r>
    </w:p>
    <w:p w14:paraId="4F846C25" w14:textId="09B726C6"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9.13</w:t>
      </w:r>
      <w:r>
        <w:rPr>
          <w:rFonts w:asciiTheme="minorHAnsi" w:eastAsiaTheme="minorEastAsia" w:hAnsiTheme="minorHAnsi" w:cstheme="minorBidi"/>
          <w:noProof/>
          <w:sz w:val="24"/>
          <w:lang w:val="en-US"/>
        </w:rPr>
        <w:tab/>
      </w:r>
      <w:r w:rsidRPr="0012651A">
        <w:rPr>
          <w:noProof/>
        </w:rPr>
        <w:t>Audits of on-going road projects</w:t>
      </w:r>
      <w:r>
        <w:rPr>
          <w:noProof/>
        </w:rPr>
        <w:tab/>
      </w:r>
      <w:r>
        <w:rPr>
          <w:noProof/>
        </w:rPr>
        <w:fldChar w:fldCharType="begin"/>
      </w:r>
      <w:r>
        <w:rPr>
          <w:noProof/>
        </w:rPr>
        <w:instrText xml:space="preserve"> PAGEREF _Toc7200523 \h </w:instrText>
      </w:r>
      <w:r>
        <w:rPr>
          <w:noProof/>
        </w:rPr>
      </w:r>
      <w:r>
        <w:rPr>
          <w:noProof/>
        </w:rPr>
        <w:fldChar w:fldCharType="separate"/>
      </w:r>
      <w:r>
        <w:rPr>
          <w:noProof/>
        </w:rPr>
        <w:t>34</w:t>
      </w:r>
      <w:r>
        <w:rPr>
          <w:noProof/>
        </w:rPr>
        <w:fldChar w:fldCharType="end"/>
      </w:r>
    </w:p>
    <w:p w14:paraId="2635B49D" w14:textId="0E3E3A60"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Pr>
          <w:noProof/>
        </w:rPr>
        <w:t>9.14</w:t>
      </w:r>
      <w:r>
        <w:rPr>
          <w:rFonts w:asciiTheme="minorHAnsi" w:eastAsiaTheme="minorEastAsia" w:hAnsiTheme="minorHAnsi" w:cstheme="minorBidi"/>
          <w:noProof/>
          <w:sz w:val="24"/>
          <w:lang w:val="en-US"/>
        </w:rPr>
        <w:tab/>
      </w:r>
      <w:r>
        <w:rPr>
          <w:noProof/>
        </w:rPr>
        <w:t>Trade policies</w:t>
      </w:r>
      <w:r>
        <w:rPr>
          <w:noProof/>
        </w:rPr>
        <w:tab/>
      </w:r>
      <w:r>
        <w:rPr>
          <w:noProof/>
        </w:rPr>
        <w:fldChar w:fldCharType="begin"/>
      </w:r>
      <w:r>
        <w:rPr>
          <w:noProof/>
        </w:rPr>
        <w:instrText xml:space="preserve"> PAGEREF _Toc7200524 \h </w:instrText>
      </w:r>
      <w:r>
        <w:rPr>
          <w:noProof/>
        </w:rPr>
      </w:r>
      <w:r>
        <w:rPr>
          <w:noProof/>
        </w:rPr>
        <w:fldChar w:fldCharType="separate"/>
      </w:r>
      <w:r>
        <w:rPr>
          <w:noProof/>
        </w:rPr>
        <w:t>35</w:t>
      </w:r>
      <w:r>
        <w:rPr>
          <w:noProof/>
        </w:rPr>
        <w:fldChar w:fldCharType="end"/>
      </w:r>
    </w:p>
    <w:p w14:paraId="755EB776" w14:textId="75FCFC9B" w:rsidR="00BE069D" w:rsidRDefault="00BE069D">
      <w:pPr>
        <w:pStyle w:val="TOC1"/>
        <w:rPr>
          <w:rFonts w:asciiTheme="minorHAnsi" w:eastAsiaTheme="minorEastAsia" w:hAnsiTheme="minorHAnsi" w:cstheme="minorBidi"/>
          <w:noProof/>
          <w:sz w:val="24"/>
          <w:szCs w:val="24"/>
          <w:lang w:val="en-US"/>
        </w:rPr>
      </w:pPr>
      <w:r>
        <w:rPr>
          <w:noProof/>
        </w:rPr>
        <w:t>10.</w:t>
      </w:r>
      <w:r>
        <w:rPr>
          <w:rFonts w:asciiTheme="minorHAnsi" w:eastAsiaTheme="minorEastAsia" w:hAnsiTheme="minorHAnsi" w:cstheme="minorBidi"/>
          <w:noProof/>
          <w:sz w:val="24"/>
          <w:szCs w:val="24"/>
          <w:lang w:val="en-US"/>
        </w:rPr>
        <w:tab/>
      </w:r>
      <w:r>
        <w:rPr>
          <w:noProof/>
        </w:rPr>
        <w:t>Implementing the NMT Strategy</w:t>
      </w:r>
      <w:r>
        <w:rPr>
          <w:noProof/>
        </w:rPr>
        <w:tab/>
      </w:r>
      <w:r>
        <w:rPr>
          <w:noProof/>
        </w:rPr>
        <w:fldChar w:fldCharType="begin"/>
      </w:r>
      <w:r>
        <w:rPr>
          <w:noProof/>
        </w:rPr>
        <w:instrText xml:space="preserve"> PAGEREF _Toc7200525 \h </w:instrText>
      </w:r>
      <w:r>
        <w:rPr>
          <w:noProof/>
        </w:rPr>
      </w:r>
      <w:r>
        <w:rPr>
          <w:noProof/>
        </w:rPr>
        <w:fldChar w:fldCharType="separate"/>
      </w:r>
      <w:r>
        <w:rPr>
          <w:noProof/>
        </w:rPr>
        <w:t>35</w:t>
      </w:r>
      <w:r>
        <w:rPr>
          <w:noProof/>
        </w:rPr>
        <w:fldChar w:fldCharType="end"/>
      </w:r>
    </w:p>
    <w:p w14:paraId="4DB10E32" w14:textId="754CFEFE"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10.1</w:t>
      </w:r>
      <w:r>
        <w:rPr>
          <w:rFonts w:asciiTheme="minorHAnsi" w:eastAsiaTheme="minorEastAsia" w:hAnsiTheme="minorHAnsi" w:cstheme="minorBidi"/>
          <w:noProof/>
          <w:sz w:val="24"/>
          <w:lang w:val="en-US"/>
        </w:rPr>
        <w:tab/>
      </w:r>
      <w:r w:rsidRPr="0012651A">
        <w:rPr>
          <w:noProof/>
        </w:rPr>
        <w:t>Institutional framework</w:t>
      </w:r>
      <w:r>
        <w:rPr>
          <w:noProof/>
        </w:rPr>
        <w:tab/>
      </w:r>
      <w:r>
        <w:rPr>
          <w:noProof/>
        </w:rPr>
        <w:fldChar w:fldCharType="begin"/>
      </w:r>
      <w:r>
        <w:rPr>
          <w:noProof/>
        </w:rPr>
        <w:instrText xml:space="preserve"> PAGEREF _Toc7200526 \h </w:instrText>
      </w:r>
      <w:r>
        <w:rPr>
          <w:noProof/>
        </w:rPr>
      </w:r>
      <w:r>
        <w:rPr>
          <w:noProof/>
        </w:rPr>
        <w:fldChar w:fldCharType="separate"/>
      </w:r>
      <w:r>
        <w:rPr>
          <w:noProof/>
        </w:rPr>
        <w:t>35</w:t>
      </w:r>
      <w:r>
        <w:rPr>
          <w:noProof/>
        </w:rPr>
        <w:fldChar w:fldCharType="end"/>
      </w:r>
    </w:p>
    <w:p w14:paraId="1C7A7666" w14:textId="17CB9ECE"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10.2</w:t>
      </w:r>
      <w:r>
        <w:rPr>
          <w:rFonts w:asciiTheme="minorHAnsi" w:eastAsiaTheme="minorEastAsia" w:hAnsiTheme="minorHAnsi" w:cstheme="minorBidi"/>
          <w:noProof/>
          <w:sz w:val="24"/>
          <w:lang w:val="en-US"/>
        </w:rPr>
        <w:tab/>
      </w:r>
      <w:r w:rsidRPr="0012651A">
        <w:rPr>
          <w:noProof/>
        </w:rPr>
        <w:t>Planning</w:t>
      </w:r>
      <w:r>
        <w:rPr>
          <w:noProof/>
        </w:rPr>
        <w:tab/>
      </w:r>
      <w:r>
        <w:rPr>
          <w:noProof/>
        </w:rPr>
        <w:fldChar w:fldCharType="begin"/>
      </w:r>
      <w:r>
        <w:rPr>
          <w:noProof/>
        </w:rPr>
        <w:instrText xml:space="preserve"> PAGEREF _Toc7200527 \h </w:instrText>
      </w:r>
      <w:r>
        <w:rPr>
          <w:noProof/>
        </w:rPr>
      </w:r>
      <w:r>
        <w:rPr>
          <w:noProof/>
        </w:rPr>
        <w:fldChar w:fldCharType="separate"/>
      </w:r>
      <w:r>
        <w:rPr>
          <w:noProof/>
        </w:rPr>
        <w:t>38</w:t>
      </w:r>
      <w:r>
        <w:rPr>
          <w:noProof/>
        </w:rPr>
        <w:fldChar w:fldCharType="end"/>
      </w:r>
    </w:p>
    <w:p w14:paraId="211CDF8E" w14:textId="3E69DA8D"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10.3</w:t>
      </w:r>
      <w:r>
        <w:rPr>
          <w:rFonts w:asciiTheme="minorHAnsi" w:eastAsiaTheme="minorEastAsia" w:hAnsiTheme="minorHAnsi" w:cstheme="minorBidi"/>
          <w:noProof/>
          <w:sz w:val="24"/>
          <w:lang w:val="en-US"/>
        </w:rPr>
        <w:tab/>
      </w:r>
      <w:r w:rsidRPr="0012651A">
        <w:rPr>
          <w:noProof/>
        </w:rPr>
        <w:t>Funding</w:t>
      </w:r>
      <w:r>
        <w:rPr>
          <w:noProof/>
        </w:rPr>
        <w:tab/>
      </w:r>
      <w:r>
        <w:rPr>
          <w:noProof/>
        </w:rPr>
        <w:fldChar w:fldCharType="begin"/>
      </w:r>
      <w:r>
        <w:rPr>
          <w:noProof/>
        </w:rPr>
        <w:instrText xml:space="preserve"> PAGEREF _Toc7200528 \h </w:instrText>
      </w:r>
      <w:r>
        <w:rPr>
          <w:noProof/>
        </w:rPr>
      </w:r>
      <w:r>
        <w:rPr>
          <w:noProof/>
        </w:rPr>
        <w:fldChar w:fldCharType="separate"/>
      </w:r>
      <w:r>
        <w:rPr>
          <w:noProof/>
        </w:rPr>
        <w:t>38</w:t>
      </w:r>
      <w:r>
        <w:rPr>
          <w:noProof/>
        </w:rPr>
        <w:fldChar w:fldCharType="end"/>
      </w:r>
    </w:p>
    <w:p w14:paraId="6BB8FC69" w14:textId="5D69260F" w:rsidR="00BE069D" w:rsidRDefault="00BE069D">
      <w:pPr>
        <w:pStyle w:val="TOC2"/>
        <w:tabs>
          <w:tab w:val="left" w:pos="960"/>
          <w:tab w:val="right" w:leader="dot" w:pos="9010"/>
        </w:tabs>
        <w:rPr>
          <w:rFonts w:asciiTheme="minorHAnsi" w:eastAsiaTheme="minorEastAsia" w:hAnsiTheme="minorHAnsi" w:cstheme="minorBidi"/>
          <w:noProof/>
          <w:sz w:val="24"/>
          <w:lang w:val="en-US"/>
        </w:rPr>
      </w:pPr>
      <w:r w:rsidRPr="0012651A">
        <w:rPr>
          <w:noProof/>
        </w:rPr>
        <w:t>10.4</w:t>
      </w:r>
      <w:r>
        <w:rPr>
          <w:rFonts w:asciiTheme="minorHAnsi" w:eastAsiaTheme="minorEastAsia" w:hAnsiTheme="minorHAnsi" w:cstheme="minorBidi"/>
          <w:noProof/>
          <w:sz w:val="24"/>
          <w:lang w:val="en-US"/>
        </w:rPr>
        <w:tab/>
      </w:r>
      <w:r w:rsidRPr="0012651A">
        <w:rPr>
          <w:noProof/>
        </w:rPr>
        <w:t>Monitoring &amp; evaluation</w:t>
      </w:r>
      <w:r>
        <w:rPr>
          <w:noProof/>
        </w:rPr>
        <w:tab/>
      </w:r>
      <w:r>
        <w:rPr>
          <w:noProof/>
        </w:rPr>
        <w:fldChar w:fldCharType="begin"/>
      </w:r>
      <w:r>
        <w:rPr>
          <w:noProof/>
        </w:rPr>
        <w:instrText xml:space="preserve"> PAGEREF _Toc7200529 \h </w:instrText>
      </w:r>
      <w:r>
        <w:rPr>
          <w:noProof/>
        </w:rPr>
      </w:r>
      <w:r>
        <w:rPr>
          <w:noProof/>
        </w:rPr>
        <w:fldChar w:fldCharType="separate"/>
      </w:r>
      <w:r>
        <w:rPr>
          <w:noProof/>
        </w:rPr>
        <w:t>39</w:t>
      </w:r>
      <w:r>
        <w:rPr>
          <w:noProof/>
        </w:rPr>
        <w:fldChar w:fldCharType="end"/>
      </w:r>
    </w:p>
    <w:p w14:paraId="32B84055" w14:textId="33652880" w:rsidR="00BE069D" w:rsidRDefault="00BE069D">
      <w:pPr>
        <w:pStyle w:val="TOC1"/>
        <w:rPr>
          <w:rFonts w:asciiTheme="minorHAnsi" w:eastAsiaTheme="minorEastAsia" w:hAnsiTheme="minorHAnsi" w:cstheme="minorBidi"/>
          <w:noProof/>
          <w:sz w:val="24"/>
          <w:szCs w:val="24"/>
          <w:lang w:val="en-US"/>
        </w:rPr>
      </w:pPr>
      <w:r>
        <w:rPr>
          <w:noProof/>
        </w:rPr>
        <w:t>11.</w:t>
      </w:r>
      <w:r>
        <w:rPr>
          <w:rFonts w:asciiTheme="minorHAnsi" w:eastAsiaTheme="minorEastAsia" w:hAnsiTheme="minorHAnsi" w:cstheme="minorBidi"/>
          <w:noProof/>
          <w:sz w:val="24"/>
          <w:szCs w:val="24"/>
          <w:lang w:val="en-US"/>
        </w:rPr>
        <w:tab/>
      </w:r>
      <w:r>
        <w:rPr>
          <w:noProof/>
        </w:rPr>
        <w:t>Action plan</w:t>
      </w:r>
      <w:r>
        <w:rPr>
          <w:noProof/>
        </w:rPr>
        <w:tab/>
      </w:r>
      <w:r>
        <w:rPr>
          <w:noProof/>
        </w:rPr>
        <w:fldChar w:fldCharType="begin"/>
      </w:r>
      <w:r>
        <w:rPr>
          <w:noProof/>
        </w:rPr>
        <w:instrText xml:space="preserve"> PAGEREF _Toc7200530 \h </w:instrText>
      </w:r>
      <w:r>
        <w:rPr>
          <w:noProof/>
        </w:rPr>
      </w:r>
      <w:r>
        <w:rPr>
          <w:noProof/>
        </w:rPr>
        <w:fldChar w:fldCharType="separate"/>
      </w:r>
      <w:r>
        <w:rPr>
          <w:noProof/>
        </w:rPr>
        <w:t>1</w:t>
      </w:r>
      <w:r>
        <w:rPr>
          <w:noProof/>
        </w:rPr>
        <w:fldChar w:fldCharType="end"/>
      </w:r>
    </w:p>
    <w:p w14:paraId="6188BDD7" w14:textId="2FDECA03" w:rsidR="00BE069D" w:rsidRDefault="00BE069D">
      <w:pPr>
        <w:pStyle w:val="TOC1"/>
        <w:rPr>
          <w:rFonts w:asciiTheme="minorHAnsi" w:eastAsiaTheme="minorEastAsia" w:hAnsiTheme="minorHAnsi" w:cstheme="minorBidi"/>
          <w:noProof/>
          <w:sz w:val="24"/>
          <w:szCs w:val="24"/>
          <w:lang w:val="en-US"/>
        </w:rPr>
      </w:pPr>
      <w:r>
        <w:rPr>
          <w:noProof/>
        </w:rPr>
        <w:t>12.</w:t>
      </w:r>
      <w:r>
        <w:rPr>
          <w:rFonts w:asciiTheme="minorHAnsi" w:eastAsiaTheme="minorEastAsia" w:hAnsiTheme="minorHAnsi" w:cstheme="minorBidi"/>
          <w:noProof/>
          <w:sz w:val="24"/>
          <w:szCs w:val="24"/>
          <w:lang w:val="en-US"/>
        </w:rPr>
        <w:tab/>
      </w:r>
      <w:r>
        <w:rPr>
          <w:noProof/>
        </w:rPr>
        <w:t>Appendix: Street design standards</w:t>
      </w:r>
      <w:r>
        <w:rPr>
          <w:noProof/>
        </w:rPr>
        <w:tab/>
      </w:r>
      <w:r>
        <w:rPr>
          <w:noProof/>
        </w:rPr>
        <w:fldChar w:fldCharType="begin"/>
      </w:r>
      <w:r>
        <w:rPr>
          <w:noProof/>
        </w:rPr>
        <w:instrText xml:space="preserve"> PAGEREF _Toc7200531 \h </w:instrText>
      </w:r>
      <w:r>
        <w:rPr>
          <w:noProof/>
        </w:rPr>
      </w:r>
      <w:r>
        <w:rPr>
          <w:noProof/>
        </w:rPr>
        <w:fldChar w:fldCharType="separate"/>
      </w:r>
      <w:r>
        <w:rPr>
          <w:noProof/>
        </w:rPr>
        <w:t>1</w:t>
      </w:r>
      <w:r>
        <w:rPr>
          <w:noProof/>
        </w:rPr>
        <w:fldChar w:fldCharType="end"/>
      </w:r>
    </w:p>
    <w:p w14:paraId="55E7CD73" w14:textId="3CF11724" w:rsidR="00BE069D" w:rsidRDefault="00BE069D">
      <w:pPr>
        <w:pStyle w:val="TOC1"/>
        <w:rPr>
          <w:rFonts w:asciiTheme="minorHAnsi" w:eastAsiaTheme="minorEastAsia" w:hAnsiTheme="minorHAnsi" w:cstheme="minorBidi"/>
          <w:noProof/>
          <w:sz w:val="24"/>
          <w:szCs w:val="24"/>
          <w:lang w:val="en-US"/>
        </w:rPr>
      </w:pPr>
      <w:r>
        <w:rPr>
          <w:noProof/>
        </w:rPr>
        <w:t>13.</w:t>
      </w:r>
      <w:r>
        <w:rPr>
          <w:rFonts w:asciiTheme="minorHAnsi" w:eastAsiaTheme="minorEastAsia" w:hAnsiTheme="minorHAnsi" w:cstheme="minorBidi"/>
          <w:noProof/>
          <w:sz w:val="24"/>
          <w:szCs w:val="24"/>
          <w:lang w:val="en-US"/>
        </w:rPr>
        <w:tab/>
      </w:r>
      <w:r>
        <w:rPr>
          <w:noProof/>
        </w:rPr>
        <w:t>Appendix: Street design checklist</w:t>
      </w:r>
      <w:r>
        <w:rPr>
          <w:noProof/>
        </w:rPr>
        <w:tab/>
      </w:r>
      <w:r>
        <w:rPr>
          <w:noProof/>
        </w:rPr>
        <w:fldChar w:fldCharType="begin"/>
      </w:r>
      <w:r>
        <w:rPr>
          <w:noProof/>
        </w:rPr>
        <w:instrText xml:space="preserve"> PAGEREF _Toc7200532 \h </w:instrText>
      </w:r>
      <w:r>
        <w:rPr>
          <w:noProof/>
        </w:rPr>
      </w:r>
      <w:r>
        <w:rPr>
          <w:noProof/>
        </w:rPr>
        <w:fldChar w:fldCharType="separate"/>
      </w:r>
      <w:r>
        <w:rPr>
          <w:noProof/>
        </w:rPr>
        <w:t>15</w:t>
      </w:r>
      <w:r>
        <w:rPr>
          <w:noProof/>
        </w:rPr>
        <w:fldChar w:fldCharType="end"/>
      </w:r>
    </w:p>
    <w:p w14:paraId="38C1A7A5" w14:textId="0254C15E" w:rsidR="00BE069D" w:rsidRDefault="00BE069D">
      <w:pPr>
        <w:pStyle w:val="TOC1"/>
        <w:rPr>
          <w:rFonts w:asciiTheme="minorHAnsi" w:eastAsiaTheme="minorEastAsia" w:hAnsiTheme="minorHAnsi" w:cstheme="minorBidi"/>
          <w:noProof/>
          <w:sz w:val="24"/>
          <w:szCs w:val="24"/>
          <w:lang w:val="en-US"/>
        </w:rPr>
      </w:pPr>
      <w:r>
        <w:rPr>
          <w:noProof/>
        </w:rPr>
        <w:t>14.</w:t>
      </w:r>
      <w:r>
        <w:rPr>
          <w:rFonts w:asciiTheme="minorHAnsi" w:eastAsiaTheme="minorEastAsia" w:hAnsiTheme="minorHAnsi" w:cstheme="minorBidi"/>
          <w:noProof/>
          <w:sz w:val="24"/>
          <w:szCs w:val="24"/>
          <w:lang w:val="en-US"/>
        </w:rPr>
        <w:tab/>
      </w:r>
      <w:r>
        <w:rPr>
          <w:noProof/>
        </w:rPr>
        <w:t>Stakeholder engagement</w:t>
      </w:r>
      <w:r>
        <w:rPr>
          <w:noProof/>
        </w:rPr>
        <w:tab/>
      </w:r>
      <w:r>
        <w:rPr>
          <w:noProof/>
        </w:rPr>
        <w:fldChar w:fldCharType="begin"/>
      </w:r>
      <w:r>
        <w:rPr>
          <w:noProof/>
        </w:rPr>
        <w:instrText xml:space="preserve"> PAGEREF _Toc7200533 \h </w:instrText>
      </w:r>
      <w:r>
        <w:rPr>
          <w:noProof/>
        </w:rPr>
      </w:r>
      <w:r>
        <w:rPr>
          <w:noProof/>
        </w:rPr>
        <w:fldChar w:fldCharType="separate"/>
      </w:r>
      <w:r>
        <w:rPr>
          <w:noProof/>
        </w:rPr>
        <w:t>16</w:t>
      </w:r>
      <w:r>
        <w:rPr>
          <w:noProof/>
        </w:rPr>
        <w:fldChar w:fldCharType="end"/>
      </w:r>
    </w:p>
    <w:p w14:paraId="3BC4B07C" w14:textId="2E6EE316" w:rsidR="00EC4A05" w:rsidRPr="0029304B" w:rsidRDefault="003F044B" w:rsidP="00597C4F">
      <w:pPr>
        <w:pStyle w:val="Heading1notinTOC"/>
        <w:rPr>
          <w:rFonts w:ascii="Times New Roman" w:eastAsia="Times New Roman" w:hAnsi="Times New Roman"/>
          <w:b w:val="0"/>
          <w:color w:val="auto"/>
          <w:sz w:val="22"/>
          <w:szCs w:val="22"/>
          <w:lang w:eastAsia="en-US"/>
        </w:rPr>
        <w:sectPr w:rsidR="00EC4A05" w:rsidRPr="0029304B" w:rsidSect="00FB585F">
          <w:headerReference w:type="default" r:id="rId11"/>
          <w:footerReference w:type="default" r:id="rId12"/>
          <w:pgSz w:w="11900" w:h="16840"/>
          <w:pgMar w:top="1440" w:right="1440" w:bottom="1440" w:left="1440" w:header="720" w:footer="864" w:gutter="0"/>
          <w:pgNumType w:fmt="lowerRoman" w:start="1"/>
          <w:cols w:space="720"/>
        </w:sectPr>
      </w:pPr>
      <w:r w:rsidRPr="0029304B">
        <w:rPr>
          <w:rFonts w:ascii="Times New Roman" w:eastAsia="Times New Roman" w:hAnsi="Times New Roman"/>
          <w:b w:val="0"/>
          <w:color w:val="auto"/>
          <w:sz w:val="22"/>
          <w:szCs w:val="22"/>
          <w:lang w:eastAsia="en-US"/>
        </w:rPr>
        <w:fldChar w:fldCharType="end"/>
      </w:r>
      <w:r w:rsidR="00615362" w:rsidRPr="0029304B">
        <w:rPr>
          <w:rFonts w:ascii="Times New Roman" w:eastAsia="Times New Roman" w:hAnsi="Times New Roman"/>
          <w:b w:val="0"/>
          <w:color w:val="auto"/>
          <w:sz w:val="22"/>
          <w:szCs w:val="22"/>
          <w:lang w:eastAsia="en-US"/>
        </w:rPr>
        <w:t xml:space="preserve">Version </w:t>
      </w:r>
      <w:r w:rsidR="008B7831" w:rsidRPr="0029304B">
        <w:rPr>
          <w:rFonts w:ascii="Times New Roman" w:eastAsia="Times New Roman" w:hAnsi="Times New Roman"/>
          <w:b w:val="0"/>
          <w:color w:val="auto"/>
          <w:sz w:val="22"/>
          <w:szCs w:val="22"/>
          <w:lang w:eastAsia="en-US"/>
        </w:rPr>
        <w:t>2</w:t>
      </w:r>
      <w:r w:rsidR="00615362" w:rsidRPr="0029304B">
        <w:rPr>
          <w:rFonts w:ascii="Times New Roman" w:eastAsia="Times New Roman" w:hAnsi="Times New Roman"/>
          <w:b w:val="0"/>
          <w:color w:val="auto"/>
          <w:sz w:val="22"/>
          <w:szCs w:val="22"/>
          <w:lang w:eastAsia="en-US"/>
        </w:rPr>
        <w:t>.0</w:t>
      </w:r>
    </w:p>
    <w:p w14:paraId="03B36795" w14:textId="77777777" w:rsidR="004C2A5D" w:rsidRPr="0029304B" w:rsidRDefault="004C2A5D" w:rsidP="00597C4F">
      <w:pPr>
        <w:pStyle w:val="Heading1notinTOC"/>
      </w:pPr>
    </w:p>
    <w:p w14:paraId="14996D23" w14:textId="77777777" w:rsidR="00EC4A05" w:rsidRPr="0029304B" w:rsidRDefault="00EC4A05">
      <w:pPr>
        <w:pStyle w:val="Heading1"/>
        <w:sectPr w:rsidR="00EC4A05" w:rsidRPr="0029304B" w:rsidSect="005E6010">
          <w:footerReference w:type="default" r:id="rId13"/>
          <w:type w:val="continuous"/>
          <w:pgSz w:w="11900" w:h="16840"/>
          <w:pgMar w:top="1440" w:right="1440" w:bottom="1440" w:left="1440" w:header="720" w:footer="864" w:gutter="0"/>
          <w:pgNumType w:start="1"/>
          <w:cols w:space="720"/>
        </w:sectPr>
      </w:pPr>
    </w:p>
    <w:p w14:paraId="71FEC813" w14:textId="77777777" w:rsidR="005C479D" w:rsidRPr="0029304B" w:rsidRDefault="005C479D" w:rsidP="00A26C4E">
      <w:pPr>
        <w:pStyle w:val="Heading1notinTOC"/>
      </w:pPr>
      <w:bookmarkStart w:id="0" w:name="_Toc524809090"/>
      <w:bookmarkStart w:id="1" w:name="_Ref525651783"/>
      <w:bookmarkStart w:id="2" w:name="_Toc526259609"/>
      <w:r w:rsidRPr="0029304B">
        <w:lastRenderedPageBreak/>
        <w:t>Definitions</w:t>
      </w:r>
    </w:p>
    <w:p w14:paraId="564E726B" w14:textId="77777777" w:rsidR="005C479D" w:rsidRPr="0029304B" w:rsidRDefault="005C479D" w:rsidP="005C479D">
      <w:pPr>
        <w:pStyle w:val="ListParagraph"/>
      </w:pPr>
      <w:r w:rsidRPr="0029304B">
        <w:rPr>
          <w:b/>
          <w:bCs/>
        </w:rPr>
        <w:t>Accessibility</w:t>
      </w:r>
      <w:r w:rsidRPr="0029304B">
        <w:t>: Facilities offered to people to reach social and economic opportunities, measured in terms of the time, money, comfort, and safety that is associated with reaching such opportunities.</w:t>
      </w:r>
    </w:p>
    <w:p w14:paraId="1A8853E8" w14:textId="77777777" w:rsidR="005C479D" w:rsidRPr="0029304B" w:rsidRDefault="005C479D" w:rsidP="005C479D">
      <w:pPr>
        <w:pStyle w:val="ListParagraph"/>
      </w:pPr>
      <w:r w:rsidRPr="0029304B">
        <w:rPr>
          <w:b/>
          <w:bCs/>
        </w:rPr>
        <w:t>Average trip length</w:t>
      </w:r>
      <w:r w:rsidRPr="0029304B">
        <w:t>: The average distance covered by a transport mode for a trip, measured in kilometres.</w:t>
      </w:r>
    </w:p>
    <w:p w14:paraId="7B07A75F" w14:textId="77777777" w:rsidR="005C479D" w:rsidRPr="0029304B" w:rsidRDefault="005C479D" w:rsidP="005C479D">
      <w:pPr>
        <w:pStyle w:val="ListParagraph"/>
      </w:pPr>
      <w:r w:rsidRPr="0029304B">
        <w:rPr>
          <w:b/>
          <w:bCs/>
        </w:rPr>
        <w:t>Bus rapid transit (BRT)</w:t>
      </w:r>
      <w:r w:rsidRPr="0029304B">
        <w:t>: High quality bus-based mass transit system that delivers fast, comfortable, reliable, and cost-effective urban mobility through the provision of segregated right-of-way infrastructure, rapid and frequent operations, and excellence in marketing and customer service.</w:t>
      </w:r>
    </w:p>
    <w:p w14:paraId="6FACDB46" w14:textId="77777777" w:rsidR="005C479D" w:rsidRPr="0029304B" w:rsidRDefault="005C479D" w:rsidP="005C479D">
      <w:pPr>
        <w:pStyle w:val="ListParagraph"/>
      </w:pPr>
      <w:r w:rsidRPr="0029304B">
        <w:rPr>
          <w:b/>
          <w:bCs/>
        </w:rPr>
        <w:t>Complete streets</w:t>
      </w:r>
      <w:r w:rsidRPr="0029304B">
        <w:t>: Streets that are designed for all users, including pedestrians, cyclists, public transport passengers, and personal motor vehicles, including all modes of mobility as well as street vending, trees, street furniture, and other elements.</w:t>
      </w:r>
    </w:p>
    <w:p w14:paraId="5564FEB2" w14:textId="77777777" w:rsidR="005C479D" w:rsidRPr="0029304B" w:rsidRDefault="005C479D" w:rsidP="005C479D">
      <w:pPr>
        <w:pStyle w:val="ListParagraph"/>
      </w:pPr>
      <w:r w:rsidRPr="0029304B">
        <w:rPr>
          <w:b/>
          <w:bCs/>
        </w:rPr>
        <w:t>Greenway</w:t>
      </w:r>
      <w:r w:rsidRPr="0029304B">
        <w:t>: A waterway or strip of land with exclusive facilities for cycling and walking.</w:t>
      </w:r>
    </w:p>
    <w:p w14:paraId="1E8BCCA8" w14:textId="77777777" w:rsidR="005C479D" w:rsidRPr="0029304B" w:rsidRDefault="005C479D" w:rsidP="005C479D">
      <w:pPr>
        <w:pStyle w:val="ListParagraph"/>
      </w:pPr>
      <w:r w:rsidRPr="0029304B">
        <w:rPr>
          <w:b/>
          <w:bCs/>
        </w:rPr>
        <w:t>Mobility</w:t>
      </w:r>
      <w:r w:rsidRPr="0029304B">
        <w:t>: Conditions under which an individual is capable to move in the urban environment.</w:t>
      </w:r>
    </w:p>
    <w:p w14:paraId="74370246" w14:textId="77777777" w:rsidR="005C479D" w:rsidRPr="0029304B" w:rsidRDefault="005C479D" w:rsidP="005C479D">
      <w:pPr>
        <w:pStyle w:val="ListParagraph"/>
      </w:pPr>
      <w:r w:rsidRPr="0029304B">
        <w:rPr>
          <w:b/>
          <w:bCs/>
        </w:rPr>
        <w:t>Mode share</w:t>
      </w:r>
      <w:r w:rsidRPr="0029304B">
        <w:t>: The share of total trips carried out by a particular mode of urban transport, including walking, cycling, bus, paratransit, rail, two-wheeler, or car.</w:t>
      </w:r>
    </w:p>
    <w:p w14:paraId="7D5F2EF0" w14:textId="77777777" w:rsidR="005C479D" w:rsidRPr="0029304B" w:rsidRDefault="005C479D" w:rsidP="005C479D">
      <w:pPr>
        <w:pStyle w:val="ListParagraph"/>
      </w:pPr>
      <w:r w:rsidRPr="0029304B">
        <w:rPr>
          <w:b/>
          <w:bCs/>
        </w:rPr>
        <w:t>Non-motorised transport (NMT)</w:t>
      </w:r>
      <w:r w:rsidRPr="0029304B">
        <w:t>: Human-powered transport such as walking and cycling.</w:t>
      </w:r>
    </w:p>
    <w:p w14:paraId="4798A29A" w14:textId="77777777" w:rsidR="005C479D" w:rsidRPr="0029304B" w:rsidRDefault="005C479D" w:rsidP="005C479D">
      <w:pPr>
        <w:pStyle w:val="ListParagraph"/>
      </w:pPr>
      <w:r w:rsidRPr="0029304B">
        <w:rPr>
          <w:b/>
          <w:bCs/>
        </w:rPr>
        <w:t xml:space="preserve">Nationally Determined Contribution (NDC): </w:t>
      </w:r>
      <w:r w:rsidRPr="0029304B">
        <w:t>National pledges to reduce greenhouse gas emissions per the provisions of the 2015 United Nations Framework Convention on Climate Change Conference of the Parties in Paris.</w:t>
      </w:r>
    </w:p>
    <w:p w14:paraId="45A2B9B3" w14:textId="77777777" w:rsidR="005C479D" w:rsidRPr="0029304B" w:rsidRDefault="005C479D" w:rsidP="005C479D">
      <w:pPr>
        <w:pStyle w:val="ListParagraph"/>
      </w:pPr>
      <w:r w:rsidRPr="0029304B">
        <w:rPr>
          <w:b/>
          <w:bCs/>
        </w:rPr>
        <w:t>On-street parking</w:t>
      </w:r>
      <w:r w:rsidRPr="0029304B">
        <w:t>: The space occupied by vehicles to park along the edge of the street.</w:t>
      </w:r>
    </w:p>
    <w:p w14:paraId="0EBAD402" w14:textId="77777777" w:rsidR="005C479D" w:rsidRPr="0029304B" w:rsidRDefault="005C479D" w:rsidP="005C479D">
      <w:pPr>
        <w:pStyle w:val="ListParagraph"/>
      </w:pPr>
      <w:r w:rsidRPr="0029304B">
        <w:rPr>
          <w:b/>
          <w:bCs/>
        </w:rPr>
        <w:t>Paratransit</w:t>
      </w:r>
      <w:r w:rsidRPr="0029304B">
        <w:t xml:space="preserve">: Service operated by the private sector on a shared or per seat basis along informally organised routes with intermediate stops. The service may or may not have a predefined fare structure. </w:t>
      </w:r>
    </w:p>
    <w:p w14:paraId="30640B3F" w14:textId="79FB67F5" w:rsidR="005C479D" w:rsidRPr="0029304B" w:rsidRDefault="005C479D" w:rsidP="005C479D">
      <w:pPr>
        <w:pStyle w:val="ListParagraph"/>
      </w:pPr>
      <w:r w:rsidRPr="0029304B">
        <w:rPr>
          <w:b/>
          <w:bCs/>
        </w:rPr>
        <w:t>Public transport (PT)</w:t>
      </w:r>
      <w:r w:rsidRPr="0029304B">
        <w:t xml:space="preserve">: Shared passenger vehicles that are </w:t>
      </w:r>
      <w:r w:rsidR="008554D6" w:rsidRPr="0029304B">
        <w:t>publicly</w:t>
      </w:r>
      <w:r w:rsidRPr="0029304B">
        <w:t xml:space="preserve"> available for multiple users. In this document, the term “public transport” is used to refer to paratransit and formal road-based public transport services.</w:t>
      </w:r>
    </w:p>
    <w:p w14:paraId="09104469" w14:textId="77777777" w:rsidR="005C479D" w:rsidRPr="0029304B" w:rsidRDefault="005C479D" w:rsidP="005C479D">
      <w:pPr>
        <w:pStyle w:val="ListParagraph"/>
      </w:pPr>
      <w:r w:rsidRPr="0029304B">
        <w:rPr>
          <w:b/>
          <w:bCs/>
        </w:rPr>
        <w:t>Parking management</w:t>
      </w:r>
      <w:r w:rsidRPr="0029304B">
        <w:t>: Pricing, enforcement, and other mechanisms used to guide parking operations to ensure the efficient use of street space.</w:t>
      </w:r>
    </w:p>
    <w:p w14:paraId="501D1F6C" w14:textId="77777777" w:rsidR="005C479D" w:rsidRPr="0029304B" w:rsidRDefault="005C479D" w:rsidP="005C479D">
      <w:pPr>
        <w:pStyle w:val="ListParagraph"/>
      </w:pPr>
      <w:r w:rsidRPr="0029304B">
        <w:rPr>
          <w:b/>
          <w:bCs/>
        </w:rPr>
        <w:t>Right-of-way (ROW)</w:t>
      </w:r>
      <w:r w:rsidRPr="0029304B">
        <w:t>: The width of the road, taken from the compound wall/property edge on one side of the road to the compound wall/property edge on the other side of the road.</w:t>
      </w:r>
    </w:p>
    <w:p w14:paraId="084B63AE" w14:textId="77777777" w:rsidR="005C479D" w:rsidRPr="0029304B" w:rsidRDefault="005C479D" w:rsidP="005C479D">
      <w:pPr>
        <w:pStyle w:val="ListParagraph"/>
      </w:pPr>
      <w:r w:rsidRPr="0029304B">
        <w:rPr>
          <w:b/>
          <w:bCs/>
        </w:rPr>
        <w:t>School zone</w:t>
      </w:r>
      <w:r w:rsidRPr="0029304B">
        <w:t>: All streets and greenways within a 200 m radius of a school.</w:t>
      </w:r>
    </w:p>
    <w:p w14:paraId="4F3BBDD6" w14:textId="77777777" w:rsidR="005C479D" w:rsidRPr="0029304B" w:rsidRDefault="005C479D" w:rsidP="005C479D">
      <w:pPr>
        <w:pStyle w:val="ListParagraph"/>
      </w:pPr>
      <w:r w:rsidRPr="0029304B">
        <w:rPr>
          <w:b/>
          <w:bCs/>
        </w:rPr>
        <w:t>Sustainable transport modes</w:t>
      </w:r>
      <w:r w:rsidRPr="0029304B">
        <w:t>: The following modes are categorized as “sustainable modes” of urban transport because when compared with personal motor vehicles, they consume the least amount of road space and fuel per person-km and also entail lower infrastructure costs: walking, cycling, and public transport (including a regular bus service as well as BRT systems).</w:t>
      </w:r>
    </w:p>
    <w:p w14:paraId="41EE9A5A" w14:textId="77777777" w:rsidR="005C479D" w:rsidRPr="0029304B" w:rsidRDefault="005C479D" w:rsidP="005C479D">
      <w:pPr>
        <w:pStyle w:val="ListParagraph"/>
      </w:pPr>
      <w:r w:rsidRPr="0029304B">
        <w:rPr>
          <w:b/>
          <w:bCs/>
        </w:rPr>
        <w:lastRenderedPageBreak/>
        <w:t>Traffic calming</w:t>
      </w:r>
      <w:r w:rsidRPr="0029304B">
        <w:t>: Traffic calming measures ensure pedestrian safety by reducing speed and potentially also the volume of motor vehicles. Traffic calming slows down vehicles through vertical displacement, horizontal displacement, real or perceived narrowing of carriageway, material/colour changes that signal conflict points, or the complete closure of a street.</w:t>
      </w:r>
    </w:p>
    <w:p w14:paraId="79A43FD7" w14:textId="77777777" w:rsidR="005C479D" w:rsidRPr="0029304B" w:rsidRDefault="005C479D" w:rsidP="005C479D">
      <w:pPr>
        <w:pStyle w:val="ListParagraph"/>
      </w:pPr>
      <w:r w:rsidRPr="0029304B">
        <w:rPr>
          <w:b/>
          <w:bCs/>
        </w:rPr>
        <w:t>Vehicle kilometres travelled (VKT)</w:t>
      </w:r>
      <w:r w:rsidRPr="0029304B">
        <w:t>: Vehicle kilometres travelled by all the personal motor vehicles (in a city) in one day.</w:t>
      </w:r>
    </w:p>
    <w:p w14:paraId="2D321072" w14:textId="77777777" w:rsidR="005C479D" w:rsidRPr="0029304B" w:rsidRDefault="005C479D" w:rsidP="008B7831">
      <w:pPr>
        <w:pStyle w:val="Heading1notinTOC"/>
      </w:pPr>
      <w:r w:rsidRPr="0029304B">
        <w:t>Abbreviations</w:t>
      </w:r>
    </w:p>
    <w:p w14:paraId="456A167F" w14:textId="4178FE6F" w:rsidR="005C479D" w:rsidRPr="0029304B" w:rsidRDefault="005C479D" w:rsidP="005C479D">
      <w:pPr>
        <w:pStyle w:val="Caption"/>
      </w:pPr>
      <w:r w:rsidRPr="0029304B">
        <w:t xml:space="preserve">Table </w:t>
      </w:r>
      <w:r w:rsidRPr="0029304B">
        <w:fldChar w:fldCharType="begin"/>
      </w:r>
      <w:r w:rsidRPr="0029304B">
        <w:instrText xml:space="preserve"> SEQ Table \* ARABIC </w:instrText>
      </w:r>
      <w:r w:rsidRPr="0029304B">
        <w:fldChar w:fldCharType="separate"/>
      </w:r>
      <w:r w:rsidR="00851657">
        <w:rPr>
          <w:noProof/>
        </w:rPr>
        <w:t>1</w:t>
      </w:r>
      <w:r w:rsidRPr="0029304B">
        <w:fldChar w:fldCharType="end"/>
      </w:r>
      <w:r w:rsidRPr="0029304B">
        <w:t>: Abbreviations</w:t>
      </w:r>
    </w:p>
    <w:tbl>
      <w:tblPr>
        <w:tblStyle w:val="ITDPtable"/>
        <w:tblW w:w="0" w:type="auto"/>
        <w:tblLook w:val="0480" w:firstRow="0" w:lastRow="0" w:firstColumn="1" w:lastColumn="0" w:noHBand="0" w:noVBand="1"/>
      </w:tblPr>
      <w:tblGrid>
        <w:gridCol w:w="1553"/>
        <w:gridCol w:w="7132"/>
      </w:tblGrid>
      <w:tr w:rsidR="005C479D" w:rsidRPr="0029304B" w14:paraId="0761DE3B" w14:textId="77777777" w:rsidTr="00F069D4">
        <w:trPr>
          <w:cnfStyle w:val="000000100000" w:firstRow="0" w:lastRow="0" w:firstColumn="0" w:lastColumn="0" w:oddVBand="0" w:evenVBand="0" w:oddHBand="1" w:evenHBand="0" w:firstRowFirstColumn="0" w:firstRowLastColumn="0" w:lastRowFirstColumn="0" w:lastRowLastColumn="0"/>
          <w:trHeight w:val="181"/>
        </w:trPr>
        <w:tc>
          <w:tcPr>
            <w:tcW w:w="1553" w:type="dxa"/>
          </w:tcPr>
          <w:p w14:paraId="11EDE2AD" w14:textId="77777777" w:rsidR="005C479D" w:rsidRPr="0029304B" w:rsidRDefault="005C479D" w:rsidP="00050D7A">
            <w:pPr>
              <w:pStyle w:val="Tabletext"/>
            </w:pPr>
            <w:r w:rsidRPr="0029304B">
              <w:t>BRT</w:t>
            </w:r>
          </w:p>
        </w:tc>
        <w:tc>
          <w:tcPr>
            <w:tcW w:w="7132" w:type="dxa"/>
          </w:tcPr>
          <w:p w14:paraId="6E1DC6D5" w14:textId="4BDD9808" w:rsidR="005C479D" w:rsidRPr="0029304B" w:rsidRDefault="005C479D" w:rsidP="00050D7A">
            <w:pPr>
              <w:pStyle w:val="Tabletext"/>
            </w:pPr>
            <w:r w:rsidRPr="0029304B">
              <w:t xml:space="preserve">Bus </w:t>
            </w:r>
            <w:r w:rsidR="0079675B" w:rsidRPr="0029304B">
              <w:t>rapid transit</w:t>
            </w:r>
          </w:p>
        </w:tc>
      </w:tr>
      <w:tr w:rsidR="005C479D" w:rsidRPr="0029304B" w14:paraId="79A3B9F8" w14:textId="77777777" w:rsidTr="00F069D4">
        <w:trPr>
          <w:cnfStyle w:val="000000010000" w:firstRow="0" w:lastRow="0" w:firstColumn="0" w:lastColumn="0" w:oddVBand="0" w:evenVBand="0" w:oddHBand="0" w:evenHBand="1" w:firstRowFirstColumn="0" w:firstRowLastColumn="0" w:lastRowFirstColumn="0" w:lastRowLastColumn="0"/>
          <w:trHeight w:val="181"/>
        </w:trPr>
        <w:tc>
          <w:tcPr>
            <w:tcW w:w="1553" w:type="dxa"/>
          </w:tcPr>
          <w:p w14:paraId="509732DB" w14:textId="77777777" w:rsidR="005C479D" w:rsidRPr="0029304B" w:rsidRDefault="005C479D" w:rsidP="00050D7A">
            <w:pPr>
              <w:pStyle w:val="Tabletext"/>
            </w:pPr>
            <w:r w:rsidRPr="0029304B">
              <w:t>DPR</w:t>
            </w:r>
          </w:p>
        </w:tc>
        <w:tc>
          <w:tcPr>
            <w:tcW w:w="7132" w:type="dxa"/>
          </w:tcPr>
          <w:p w14:paraId="5386E8F4" w14:textId="277D474C" w:rsidR="005C479D" w:rsidRPr="0029304B" w:rsidRDefault="005C479D" w:rsidP="00050D7A">
            <w:pPr>
              <w:pStyle w:val="Tabletext"/>
            </w:pPr>
            <w:r w:rsidRPr="0029304B">
              <w:t xml:space="preserve">Detailed </w:t>
            </w:r>
            <w:r w:rsidR="0079675B" w:rsidRPr="0029304B">
              <w:t>project report</w:t>
            </w:r>
          </w:p>
        </w:tc>
      </w:tr>
      <w:tr w:rsidR="005C479D" w:rsidRPr="0029304B" w14:paraId="4305E405" w14:textId="77777777" w:rsidTr="00F069D4">
        <w:trPr>
          <w:cnfStyle w:val="000000100000" w:firstRow="0" w:lastRow="0" w:firstColumn="0" w:lastColumn="0" w:oddVBand="0" w:evenVBand="0" w:oddHBand="1" w:evenHBand="0" w:firstRowFirstColumn="0" w:firstRowLastColumn="0" w:lastRowFirstColumn="0" w:lastRowLastColumn="0"/>
          <w:trHeight w:val="181"/>
        </w:trPr>
        <w:tc>
          <w:tcPr>
            <w:tcW w:w="1553" w:type="dxa"/>
          </w:tcPr>
          <w:p w14:paraId="19225D6D" w14:textId="77777777" w:rsidR="005C479D" w:rsidRPr="0029304B" w:rsidRDefault="005C479D" w:rsidP="00050D7A">
            <w:pPr>
              <w:pStyle w:val="Tabletext"/>
            </w:pPr>
            <w:r w:rsidRPr="0029304B">
              <w:t>ECS</w:t>
            </w:r>
          </w:p>
        </w:tc>
        <w:tc>
          <w:tcPr>
            <w:tcW w:w="7132" w:type="dxa"/>
          </w:tcPr>
          <w:p w14:paraId="5666DBAA" w14:textId="350BECD1" w:rsidR="005C479D" w:rsidRPr="0029304B" w:rsidRDefault="005C479D" w:rsidP="00050D7A">
            <w:pPr>
              <w:pStyle w:val="Tabletext"/>
            </w:pPr>
            <w:r w:rsidRPr="0029304B">
              <w:t xml:space="preserve">Equivalent </w:t>
            </w:r>
            <w:r w:rsidR="0079675B" w:rsidRPr="0029304B">
              <w:t>car space</w:t>
            </w:r>
          </w:p>
        </w:tc>
      </w:tr>
      <w:tr w:rsidR="005C479D" w:rsidRPr="0029304B" w14:paraId="377B7514" w14:textId="77777777" w:rsidTr="00F069D4">
        <w:trPr>
          <w:cnfStyle w:val="000000010000" w:firstRow="0" w:lastRow="0" w:firstColumn="0" w:lastColumn="0" w:oddVBand="0" w:evenVBand="0" w:oddHBand="0" w:evenHBand="1" w:firstRowFirstColumn="0" w:firstRowLastColumn="0" w:lastRowFirstColumn="0" w:lastRowLastColumn="0"/>
          <w:trHeight w:val="14"/>
        </w:trPr>
        <w:tc>
          <w:tcPr>
            <w:tcW w:w="1553" w:type="dxa"/>
          </w:tcPr>
          <w:p w14:paraId="633B79D4" w14:textId="77777777" w:rsidR="005C479D" w:rsidRPr="0029304B" w:rsidRDefault="005C479D" w:rsidP="00050D7A">
            <w:pPr>
              <w:pStyle w:val="Tabletext"/>
            </w:pPr>
            <w:r w:rsidRPr="0029304B">
              <w:t>MRT</w:t>
            </w:r>
          </w:p>
        </w:tc>
        <w:tc>
          <w:tcPr>
            <w:tcW w:w="7132" w:type="dxa"/>
          </w:tcPr>
          <w:p w14:paraId="7BBDB2A6" w14:textId="2C84522C" w:rsidR="005C479D" w:rsidRPr="0029304B" w:rsidRDefault="005C479D" w:rsidP="00050D7A">
            <w:pPr>
              <w:pStyle w:val="Tabletext"/>
            </w:pPr>
            <w:r w:rsidRPr="0029304B">
              <w:t xml:space="preserve">Mass </w:t>
            </w:r>
            <w:r w:rsidR="0079675B" w:rsidRPr="0029304B">
              <w:t>rapid transit</w:t>
            </w:r>
          </w:p>
        </w:tc>
      </w:tr>
      <w:tr w:rsidR="005C479D" w:rsidRPr="0029304B" w14:paraId="6FF75009" w14:textId="77777777" w:rsidTr="00F069D4">
        <w:trPr>
          <w:cnfStyle w:val="000000100000" w:firstRow="0" w:lastRow="0" w:firstColumn="0" w:lastColumn="0" w:oddVBand="0" w:evenVBand="0" w:oddHBand="1" w:evenHBand="0" w:firstRowFirstColumn="0" w:firstRowLastColumn="0" w:lastRowFirstColumn="0" w:lastRowLastColumn="0"/>
          <w:trHeight w:val="14"/>
        </w:trPr>
        <w:tc>
          <w:tcPr>
            <w:tcW w:w="1553" w:type="dxa"/>
          </w:tcPr>
          <w:p w14:paraId="164753F7" w14:textId="77777777" w:rsidR="005C479D" w:rsidRPr="0029304B" w:rsidRDefault="005C479D" w:rsidP="00050D7A">
            <w:pPr>
              <w:pStyle w:val="Tabletext"/>
            </w:pPr>
            <w:r w:rsidRPr="0029304B">
              <w:t>NDC</w:t>
            </w:r>
          </w:p>
        </w:tc>
        <w:tc>
          <w:tcPr>
            <w:tcW w:w="7132" w:type="dxa"/>
          </w:tcPr>
          <w:p w14:paraId="496CDA16" w14:textId="77777777" w:rsidR="005C479D" w:rsidRPr="0029304B" w:rsidRDefault="005C479D" w:rsidP="00050D7A">
            <w:pPr>
              <w:pStyle w:val="Tabletext"/>
            </w:pPr>
            <w:r w:rsidRPr="0029304B">
              <w:t>National Determined Contribution</w:t>
            </w:r>
          </w:p>
        </w:tc>
      </w:tr>
      <w:tr w:rsidR="005C479D" w:rsidRPr="0029304B" w14:paraId="4C34857D" w14:textId="77777777" w:rsidTr="00F069D4">
        <w:trPr>
          <w:cnfStyle w:val="000000010000" w:firstRow="0" w:lastRow="0" w:firstColumn="0" w:lastColumn="0" w:oddVBand="0" w:evenVBand="0" w:oddHBand="0" w:evenHBand="1" w:firstRowFirstColumn="0" w:firstRowLastColumn="0" w:lastRowFirstColumn="0" w:lastRowLastColumn="0"/>
          <w:trHeight w:val="181"/>
        </w:trPr>
        <w:tc>
          <w:tcPr>
            <w:tcW w:w="1553" w:type="dxa"/>
          </w:tcPr>
          <w:p w14:paraId="7DC6657F" w14:textId="77777777" w:rsidR="005C479D" w:rsidRPr="0029304B" w:rsidRDefault="005C479D" w:rsidP="00050D7A">
            <w:pPr>
              <w:pStyle w:val="Tabletext"/>
            </w:pPr>
            <w:r w:rsidRPr="0029304B">
              <w:t>NMT</w:t>
            </w:r>
          </w:p>
        </w:tc>
        <w:tc>
          <w:tcPr>
            <w:tcW w:w="7132" w:type="dxa"/>
          </w:tcPr>
          <w:p w14:paraId="3F30BFA2" w14:textId="2B1DE8C9" w:rsidR="005C479D" w:rsidRPr="0029304B" w:rsidRDefault="005C479D" w:rsidP="00050D7A">
            <w:pPr>
              <w:pStyle w:val="Tabletext"/>
            </w:pPr>
            <w:r w:rsidRPr="0029304B">
              <w:t>Non-</w:t>
            </w:r>
            <w:r w:rsidR="0079675B" w:rsidRPr="0029304B">
              <w:t>motorised transport</w:t>
            </w:r>
          </w:p>
        </w:tc>
      </w:tr>
      <w:tr w:rsidR="005C479D" w:rsidRPr="0029304B" w14:paraId="00209AEE" w14:textId="77777777" w:rsidTr="00F069D4">
        <w:trPr>
          <w:cnfStyle w:val="000000100000" w:firstRow="0" w:lastRow="0" w:firstColumn="0" w:lastColumn="0" w:oddVBand="0" w:evenVBand="0" w:oddHBand="1" w:evenHBand="0" w:firstRowFirstColumn="0" w:firstRowLastColumn="0" w:lastRowFirstColumn="0" w:lastRowLastColumn="0"/>
          <w:trHeight w:val="181"/>
        </w:trPr>
        <w:tc>
          <w:tcPr>
            <w:tcW w:w="1553" w:type="dxa"/>
          </w:tcPr>
          <w:p w14:paraId="15F1EBDF" w14:textId="77777777" w:rsidR="005C479D" w:rsidRPr="0029304B" w:rsidRDefault="005C479D" w:rsidP="00050D7A">
            <w:pPr>
              <w:pStyle w:val="Tabletext"/>
            </w:pPr>
            <w:r w:rsidRPr="0029304B">
              <w:t>RTSA</w:t>
            </w:r>
          </w:p>
        </w:tc>
        <w:tc>
          <w:tcPr>
            <w:tcW w:w="7132" w:type="dxa"/>
          </w:tcPr>
          <w:p w14:paraId="7CF28D38" w14:textId="5C95E1BA" w:rsidR="005C479D" w:rsidRPr="0029304B" w:rsidRDefault="005C479D" w:rsidP="00050D7A">
            <w:pPr>
              <w:pStyle w:val="Tabletext"/>
            </w:pPr>
            <w:r w:rsidRPr="0029304B">
              <w:t>Road Safety Agency</w:t>
            </w:r>
          </w:p>
        </w:tc>
      </w:tr>
      <w:tr w:rsidR="005C479D" w:rsidRPr="0029304B" w14:paraId="48DAC6A0" w14:textId="77777777" w:rsidTr="00F069D4">
        <w:trPr>
          <w:cnfStyle w:val="000000010000" w:firstRow="0" w:lastRow="0" w:firstColumn="0" w:lastColumn="0" w:oddVBand="0" w:evenVBand="0" w:oddHBand="0" w:evenHBand="1" w:firstRowFirstColumn="0" w:firstRowLastColumn="0" w:lastRowFirstColumn="0" w:lastRowLastColumn="0"/>
          <w:trHeight w:val="181"/>
        </w:trPr>
        <w:tc>
          <w:tcPr>
            <w:tcW w:w="1553" w:type="dxa"/>
          </w:tcPr>
          <w:p w14:paraId="7DE43A0E" w14:textId="77777777" w:rsidR="005C479D" w:rsidRPr="0029304B" w:rsidRDefault="005C479D" w:rsidP="00050D7A">
            <w:pPr>
              <w:pStyle w:val="Tabletext"/>
            </w:pPr>
            <w:r w:rsidRPr="0029304B">
              <w:t>RDA</w:t>
            </w:r>
          </w:p>
        </w:tc>
        <w:tc>
          <w:tcPr>
            <w:tcW w:w="7132" w:type="dxa"/>
          </w:tcPr>
          <w:p w14:paraId="379421A0" w14:textId="77777777" w:rsidR="005C479D" w:rsidRPr="0029304B" w:rsidRDefault="005C479D" w:rsidP="00050D7A">
            <w:pPr>
              <w:pStyle w:val="Tabletext"/>
            </w:pPr>
            <w:r w:rsidRPr="0029304B">
              <w:t>Road Development Agency</w:t>
            </w:r>
          </w:p>
        </w:tc>
      </w:tr>
      <w:tr w:rsidR="005C479D" w:rsidRPr="0029304B" w14:paraId="3E260C71" w14:textId="77777777" w:rsidTr="00F069D4">
        <w:trPr>
          <w:cnfStyle w:val="000000100000" w:firstRow="0" w:lastRow="0" w:firstColumn="0" w:lastColumn="0" w:oddVBand="0" w:evenVBand="0" w:oddHBand="1" w:evenHBand="0" w:firstRowFirstColumn="0" w:firstRowLastColumn="0" w:lastRowFirstColumn="0" w:lastRowLastColumn="0"/>
          <w:trHeight w:val="181"/>
        </w:trPr>
        <w:tc>
          <w:tcPr>
            <w:tcW w:w="1553" w:type="dxa"/>
          </w:tcPr>
          <w:p w14:paraId="0C02B741" w14:textId="77777777" w:rsidR="005C479D" w:rsidRPr="0029304B" w:rsidRDefault="005C479D" w:rsidP="00050D7A">
            <w:pPr>
              <w:pStyle w:val="Tabletext"/>
            </w:pPr>
            <w:r w:rsidRPr="0029304B">
              <w:t>SPV</w:t>
            </w:r>
          </w:p>
        </w:tc>
        <w:tc>
          <w:tcPr>
            <w:tcW w:w="7132" w:type="dxa"/>
          </w:tcPr>
          <w:p w14:paraId="5F3CE4E5" w14:textId="6F46852B" w:rsidR="005C479D" w:rsidRPr="0029304B" w:rsidRDefault="005C479D" w:rsidP="00050D7A">
            <w:pPr>
              <w:pStyle w:val="Tabletext"/>
            </w:pPr>
            <w:r w:rsidRPr="0029304B">
              <w:t xml:space="preserve">Special </w:t>
            </w:r>
            <w:r w:rsidR="0079675B" w:rsidRPr="0029304B">
              <w:t>purpose vehicle</w:t>
            </w:r>
          </w:p>
        </w:tc>
      </w:tr>
      <w:tr w:rsidR="005C479D" w:rsidRPr="0029304B" w14:paraId="1E1D8B0E" w14:textId="77777777" w:rsidTr="00F069D4">
        <w:trPr>
          <w:cnfStyle w:val="000000010000" w:firstRow="0" w:lastRow="0" w:firstColumn="0" w:lastColumn="0" w:oddVBand="0" w:evenVBand="0" w:oddHBand="0" w:evenHBand="1" w:firstRowFirstColumn="0" w:firstRowLastColumn="0" w:lastRowFirstColumn="0" w:lastRowLastColumn="0"/>
          <w:trHeight w:val="181"/>
        </w:trPr>
        <w:tc>
          <w:tcPr>
            <w:tcW w:w="1553" w:type="dxa"/>
          </w:tcPr>
          <w:p w14:paraId="54B8306E" w14:textId="77777777" w:rsidR="005C479D" w:rsidRPr="0029304B" w:rsidRDefault="005C479D" w:rsidP="00050D7A">
            <w:pPr>
              <w:pStyle w:val="Tabletext"/>
            </w:pPr>
            <w:r w:rsidRPr="0029304B">
              <w:t>TDM</w:t>
            </w:r>
          </w:p>
        </w:tc>
        <w:tc>
          <w:tcPr>
            <w:tcW w:w="7132" w:type="dxa"/>
          </w:tcPr>
          <w:p w14:paraId="3926BC96" w14:textId="174ADDB3" w:rsidR="005C479D" w:rsidRPr="0029304B" w:rsidRDefault="005C479D" w:rsidP="00050D7A">
            <w:pPr>
              <w:pStyle w:val="Tabletext"/>
            </w:pPr>
            <w:r w:rsidRPr="0029304B">
              <w:t xml:space="preserve">Travel </w:t>
            </w:r>
            <w:r w:rsidR="0079675B" w:rsidRPr="0029304B">
              <w:t>demand management</w:t>
            </w:r>
          </w:p>
        </w:tc>
      </w:tr>
      <w:tr w:rsidR="005C479D" w:rsidRPr="0029304B" w14:paraId="0B69CBC1" w14:textId="77777777" w:rsidTr="00F069D4">
        <w:trPr>
          <w:cnfStyle w:val="000000100000" w:firstRow="0" w:lastRow="0" w:firstColumn="0" w:lastColumn="0" w:oddVBand="0" w:evenVBand="0" w:oddHBand="1" w:evenHBand="0" w:firstRowFirstColumn="0" w:firstRowLastColumn="0" w:lastRowFirstColumn="0" w:lastRowLastColumn="0"/>
          <w:trHeight w:val="181"/>
        </w:trPr>
        <w:tc>
          <w:tcPr>
            <w:tcW w:w="1553" w:type="dxa"/>
          </w:tcPr>
          <w:p w14:paraId="6E6C5347" w14:textId="77777777" w:rsidR="005C479D" w:rsidRPr="0029304B" w:rsidRDefault="005C479D" w:rsidP="00050D7A">
            <w:pPr>
              <w:pStyle w:val="Tabletext"/>
            </w:pPr>
            <w:r w:rsidRPr="0029304B">
              <w:t>TOD</w:t>
            </w:r>
          </w:p>
        </w:tc>
        <w:tc>
          <w:tcPr>
            <w:tcW w:w="7132" w:type="dxa"/>
          </w:tcPr>
          <w:p w14:paraId="4CC3B7AA" w14:textId="359F0DE0" w:rsidR="005C479D" w:rsidRPr="0029304B" w:rsidRDefault="005C479D" w:rsidP="00050D7A">
            <w:pPr>
              <w:pStyle w:val="Tabletext"/>
            </w:pPr>
            <w:r w:rsidRPr="0029304B">
              <w:t>Transit-</w:t>
            </w:r>
            <w:r w:rsidR="0079675B" w:rsidRPr="0029304B">
              <w:t>oriented development</w:t>
            </w:r>
          </w:p>
        </w:tc>
      </w:tr>
      <w:tr w:rsidR="005C479D" w:rsidRPr="0029304B" w14:paraId="2F6CE4F6" w14:textId="77777777" w:rsidTr="00F069D4">
        <w:trPr>
          <w:cnfStyle w:val="000000010000" w:firstRow="0" w:lastRow="0" w:firstColumn="0" w:lastColumn="0" w:oddVBand="0" w:evenVBand="0" w:oddHBand="0" w:evenHBand="1" w:firstRowFirstColumn="0" w:firstRowLastColumn="0" w:lastRowFirstColumn="0" w:lastRowLastColumn="0"/>
          <w:trHeight w:val="52"/>
        </w:trPr>
        <w:tc>
          <w:tcPr>
            <w:tcW w:w="1553" w:type="dxa"/>
          </w:tcPr>
          <w:p w14:paraId="74BA5A2A" w14:textId="77777777" w:rsidR="005C479D" w:rsidRPr="0029304B" w:rsidRDefault="005C479D" w:rsidP="00050D7A">
            <w:pPr>
              <w:pStyle w:val="Tabletext"/>
            </w:pPr>
            <w:r w:rsidRPr="0029304B">
              <w:t>VKT</w:t>
            </w:r>
          </w:p>
        </w:tc>
        <w:tc>
          <w:tcPr>
            <w:tcW w:w="7132" w:type="dxa"/>
          </w:tcPr>
          <w:p w14:paraId="2C220029" w14:textId="02833EEC" w:rsidR="005C479D" w:rsidRPr="0029304B" w:rsidRDefault="005C479D" w:rsidP="00050D7A">
            <w:pPr>
              <w:pStyle w:val="Tabletext"/>
            </w:pPr>
            <w:r w:rsidRPr="0029304B">
              <w:t xml:space="preserve">Vehicle </w:t>
            </w:r>
            <w:r w:rsidR="0079675B" w:rsidRPr="0029304B">
              <w:t>kilometres travelled</w:t>
            </w:r>
            <w:r w:rsidR="0079675B">
              <w:t xml:space="preserve"> </w:t>
            </w:r>
          </w:p>
        </w:tc>
      </w:tr>
    </w:tbl>
    <w:p w14:paraId="106FDE83" w14:textId="77777777" w:rsidR="008B7831" w:rsidRPr="0029304B" w:rsidRDefault="008B7831" w:rsidP="008B7831"/>
    <w:p w14:paraId="655DD35E" w14:textId="77777777" w:rsidR="008B7831" w:rsidRPr="0029304B" w:rsidRDefault="008B7831">
      <w:pPr>
        <w:spacing w:after="0" w:line="240" w:lineRule="auto"/>
        <w:rPr>
          <w:rFonts w:ascii="Trebuchet MS" w:eastAsia="ヒラギノ角ゴ Pro W3" w:hAnsi="Trebuchet MS"/>
          <w:b/>
          <w:color w:val="009C4C"/>
          <w:sz w:val="28"/>
          <w:szCs w:val="20"/>
          <w:lang w:eastAsia="zh-CN"/>
        </w:rPr>
      </w:pPr>
      <w:r w:rsidRPr="0029304B">
        <w:br w:type="page"/>
      </w:r>
    </w:p>
    <w:p w14:paraId="5CFC9F6B" w14:textId="2EB809D4" w:rsidR="000E2568" w:rsidRPr="0029304B" w:rsidRDefault="000E2568" w:rsidP="000E2568">
      <w:pPr>
        <w:pStyle w:val="Heading1"/>
        <w:numPr>
          <w:ilvl w:val="0"/>
          <w:numId w:val="1"/>
        </w:numPr>
      </w:pPr>
      <w:bookmarkStart w:id="3" w:name="_Toc7200484"/>
      <w:r w:rsidRPr="0029304B">
        <w:lastRenderedPageBreak/>
        <w:t>Introduction</w:t>
      </w:r>
      <w:bookmarkEnd w:id="0"/>
      <w:bookmarkEnd w:id="1"/>
      <w:bookmarkEnd w:id="2"/>
      <w:bookmarkEnd w:id="3"/>
    </w:p>
    <w:p w14:paraId="3CDAB257" w14:textId="1E93F7A3" w:rsidR="00C05A96" w:rsidRPr="0029304B" w:rsidRDefault="0012576F" w:rsidP="004C28F3">
      <w:r w:rsidRPr="0029304B">
        <w:t>Non-motorised transport</w:t>
      </w:r>
      <w:r w:rsidR="000E2568" w:rsidRPr="0029304B">
        <w:t xml:space="preserve"> </w:t>
      </w:r>
      <w:r w:rsidRPr="0029304B">
        <w:t>(NMT) offers</w:t>
      </w:r>
      <w:r w:rsidR="000E2568" w:rsidRPr="0029304B">
        <w:t xml:space="preserve"> basic mobility, affordable transport, access to public transport, </w:t>
      </w:r>
      <w:r w:rsidRPr="0029304B">
        <w:t xml:space="preserve">and </w:t>
      </w:r>
      <w:r w:rsidR="000E2568" w:rsidRPr="0029304B">
        <w:t xml:space="preserve">health benefits. Improving </w:t>
      </w:r>
      <w:r w:rsidRPr="0029304B">
        <w:t xml:space="preserve">the </w:t>
      </w:r>
      <w:r w:rsidR="000E2568" w:rsidRPr="0029304B">
        <w:t>convenience, comfort</w:t>
      </w:r>
      <w:r w:rsidRPr="0029304B">
        <w:t xml:space="preserve">, </w:t>
      </w:r>
      <w:r w:rsidR="000E2568" w:rsidRPr="0029304B">
        <w:t>and safety of walking and cycling reduces the demand for travel by personal motor vehicles, helping to alleviate the critical traffic challenges facing many cities.</w:t>
      </w:r>
      <w:r w:rsidRPr="0029304B">
        <w:t xml:space="preserve"> </w:t>
      </w:r>
      <w:r w:rsidR="000E2568" w:rsidRPr="0029304B">
        <w:t xml:space="preserve">Despite </w:t>
      </w:r>
      <w:r w:rsidRPr="0029304B">
        <w:t>a high</w:t>
      </w:r>
      <w:r w:rsidR="000E2568" w:rsidRPr="0029304B">
        <w:t xml:space="preserve"> level of reliance on </w:t>
      </w:r>
      <w:r w:rsidRPr="0029304B">
        <w:t>NMT</w:t>
      </w:r>
      <w:r w:rsidR="000E2568" w:rsidRPr="0029304B">
        <w:t>, many streets in cities in</w:t>
      </w:r>
      <w:r w:rsidR="00385AF6" w:rsidRPr="00385AF6">
        <w:t xml:space="preserve"> [COUNTRY</w:t>
      </w:r>
      <w:r w:rsidR="00385AF6">
        <w:t>]</w:t>
      </w:r>
      <w:r w:rsidR="000E2568" w:rsidRPr="0029304B">
        <w:t xml:space="preserve"> are not designed for people to walk or cycle. As many cities around the globe have reali</w:t>
      </w:r>
      <w:r w:rsidR="004C28F3" w:rsidRPr="0029304B">
        <w:t>s</w:t>
      </w:r>
      <w:r w:rsidR="000E2568" w:rsidRPr="0029304B">
        <w:t>ed, street designs that focus on vehicle movement rather than mobility for people undermine quality of life and the character of public spaces. Urgent steps are needed to ensure more equitable allocation of road space by focusing on walking, cycling, and public transport in the planning, design, construction and management of transport systems.</w:t>
      </w:r>
    </w:p>
    <w:p w14:paraId="03D6C9EC" w14:textId="7945A7B0" w:rsidR="00683A8E" w:rsidRPr="00683A8E" w:rsidRDefault="000E2568" w:rsidP="000E2568">
      <w:pPr>
        <w:rPr>
          <w:vertAlign w:val="superscript"/>
        </w:rPr>
      </w:pPr>
      <w:r w:rsidRPr="0029304B">
        <w:t>Toward t</w:t>
      </w:r>
      <w:r w:rsidR="00385AF6">
        <w:t xml:space="preserve">his end, the </w:t>
      </w:r>
      <w:r w:rsidR="00385AF6" w:rsidRPr="00385AF6">
        <w:t>[TRANSPORT MINISTRY]</w:t>
      </w:r>
      <w:r w:rsidRPr="0029304B">
        <w:t xml:space="preserve"> </w:t>
      </w:r>
      <w:r w:rsidR="0012576F" w:rsidRPr="0029304B">
        <w:t>has developed</w:t>
      </w:r>
      <w:r w:rsidRPr="0029304B">
        <w:t xml:space="preserve"> a</w:t>
      </w:r>
      <w:r w:rsidR="0012576F" w:rsidRPr="0029304B">
        <w:t xml:space="preserve">n NMT </w:t>
      </w:r>
      <w:r w:rsidRPr="0029304B">
        <w:t xml:space="preserve">Strategy to guide the implementation of high quality </w:t>
      </w:r>
      <w:r w:rsidR="001000C3" w:rsidRPr="0029304B">
        <w:t xml:space="preserve">non-motorised </w:t>
      </w:r>
      <w:r w:rsidR="00385AF6">
        <w:t>transport systems in</w:t>
      </w:r>
      <w:r w:rsidR="009D322A" w:rsidRPr="009D322A">
        <w:t xml:space="preserve"> [COUNTRY]</w:t>
      </w:r>
      <w:r w:rsidRPr="0029304B">
        <w:t xml:space="preserve">. The aim of the NMT Strategy is </w:t>
      </w:r>
      <w:r w:rsidR="0012576F" w:rsidRPr="0029304B">
        <w:t>to achieve</w:t>
      </w:r>
      <w:r w:rsidRPr="0029304B">
        <w:t xml:space="preserve"> </w:t>
      </w:r>
      <w:r w:rsidR="0012576F" w:rsidRPr="0029304B">
        <w:t>improved</w:t>
      </w:r>
      <w:r w:rsidRPr="0029304B">
        <w:t xml:space="preserve"> </w:t>
      </w:r>
      <w:r w:rsidR="0012576F" w:rsidRPr="0029304B">
        <w:t>access</w:t>
      </w:r>
      <w:r w:rsidRPr="0029304B">
        <w:t xml:space="preserve"> through sustainable transport modes including walking, cycling, and public transport. The NMT Strategy for </w:t>
      </w:r>
      <w:r w:rsidR="009D322A" w:rsidRPr="00385AF6">
        <w:t>[</w:t>
      </w:r>
      <w:bookmarkStart w:id="4" w:name="_GoBack"/>
      <w:r w:rsidR="009D322A" w:rsidRPr="00385AF6">
        <w:t>COUNTRY</w:t>
      </w:r>
      <w:bookmarkEnd w:id="4"/>
      <w:r w:rsidR="009D322A">
        <w:t>]</w:t>
      </w:r>
      <w:r w:rsidR="009D322A" w:rsidRPr="0029304B">
        <w:t xml:space="preserve"> is</w:t>
      </w:r>
      <w:r w:rsidRPr="0029304B">
        <w:t xml:space="preserve"> consistent with </w:t>
      </w:r>
      <w:r w:rsidR="00D22A47">
        <w:t>[PLAN 1]</w:t>
      </w:r>
      <w:r w:rsidR="004C28F3" w:rsidRPr="0029304B">
        <w:t>,</w:t>
      </w:r>
      <w:r w:rsidR="0012576F" w:rsidRPr="0029304B">
        <w:t xml:space="preserve"> which</w:t>
      </w:r>
      <w:r w:rsidRPr="0029304B">
        <w:t xml:space="preserve"> envision </w:t>
      </w:r>
      <w:r w:rsidR="00D22A47">
        <w:t>[DETAIL]</w:t>
      </w:r>
      <w:r w:rsidRPr="0029304B">
        <w:t xml:space="preserve"> in line with the United Nation’s Decade of Action for Road Safety, which declared a goal of reducing road fatalities by 50 percent by 2020.</w:t>
      </w:r>
    </w:p>
    <w:p w14:paraId="073DB48C" w14:textId="6AE9DB53" w:rsidR="005C479D" w:rsidRPr="0029304B" w:rsidRDefault="0012576F" w:rsidP="0029304B">
      <w:r w:rsidRPr="0029304B">
        <w:rPr>
          <w:bCs/>
          <w:iCs/>
        </w:rPr>
        <w:t>The</w:t>
      </w:r>
      <w:r w:rsidR="000E2568" w:rsidRPr="0029304B">
        <w:rPr>
          <w:bCs/>
          <w:iCs/>
        </w:rPr>
        <w:t xml:space="preserve"> NMT Strategy has been developed following extensive consultations including stakeholder meetings</w:t>
      </w:r>
      <w:r w:rsidRPr="0029304B">
        <w:rPr>
          <w:bCs/>
          <w:iCs/>
        </w:rPr>
        <w:t xml:space="preserve">, </w:t>
      </w:r>
      <w:r w:rsidR="000E2568" w:rsidRPr="0029304B">
        <w:rPr>
          <w:bCs/>
          <w:iCs/>
        </w:rPr>
        <w:t>capacity building workshops</w:t>
      </w:r>
      <w:r w:rsidRPr="0029304B">
        <w:rPr>
          <w:bCs/>
          <w:iCs/>
        </w:rPr>
        <w:t xml:space="preserve">, and an online survey. </w:t>
      </w:r>
      <w:r w:rsidR="000E2568" w:rsidRPr="0029304B">
        <w:t>Successful implementation of the NMT Strategy will be determined by the joint efforts of concerned stakeholders to develop a transport system that provides safe, equitable access for all road users.</w:t>
      </w:r>
    </w:p>
    <w:p w14:paraId="3AC5CE55" w14:textId="2A922CA0" w:rsidR="000E2568" w:rsidRPr="0029304B" w:rsidRDefault="000E2568" w:rsidP="000E2568">
      <w:pPr>
        <w:pStyle w:val="Heading1"/>
        <w:numPr>
          <w:ilvl w:val="0"/>
          <w:numId w:val="1"/>
        </w:numPr>
      </w:pPr>
      <w:bookmarkStart w:id="5" w:name="_Toc524809091"/>
      <w:bookmarkStart w:id="6" w:name="_Toc526259610"/>
      <w:bookmarkStart w:id="7" w:name="_Toc7200485"/>
      <w:bookmarkStart w:id="8" w:name="_Toc469515072"/>
      <w:bookmarkStart w:id="9" w:name="_Toc480297955"/>
      <w:r w:rsidRPr="0029304B">
        <w:t>Emerging urban mobility challenges</w:t>
      </w:r>
      <w:bookmarkEnd w:id="5"/>
      <w:bookmarkEnd w:id="6"/>
      <w:bookmarkEnd w:id="7"/>
    </w:p>
    <w:p w14:paraId="68482A68" w14:textId="7E4B189F" w:rsidR="00D22A47" w:rsidRDefault="00D22A47" w:rsidP="00D22A47">
      <w:r>
        <w:t>[BACKGROUND ON URBANIS</w:t>
      </w:r>
      <w:r w:rsidR="001F5D0E">
        <w:t>ATION TRENDS AND URBAN MOBILITY</w:t>
      </w:r>
      <w:r w:rsidR="001D6A09">
        <w:t>: URBAN POPULATION GROWTH, CITY MODE SPLITS, SITUATIONAL ANALYSIS OF THE CITY]</w:t>
      </w:r>
    </w:p>
    <w:p w14:paraId="467D7BB0" w14:textId="665E9939" w:rsidR="007853EA" w:rsidRPr="0029304B" w:rsidRDefault="00D05946" w:rsidP="007853EA">
      <w:pPr>
        <w:pStyle w:val="Heading1"/>
        <w:numPr>
          <w:ilvl w:val="0"/>
          <w:numId w:val="1"/>
        </w:numPr>
      </w:pPr>
      <w:bookmarkStart w:id="10" w:name="_Toc514529764"/>
      <w:bookmarkStart w:id="11" w:name="_Toc514589996"/>
      <w:bookmarkStart w:id="12" w:name="_Toc521100996"/>
      <w:bookmarkStart w:id="13" w:name="_Toc7200486"/>
      <w:r w:rsidRPr="0029304B">
        <w:t xml:space="preserve">Assessment of </w:t>
      </w:r>
      <w:r w:rsidR="007853EA" w:rsidRPr="0029304B">
        <w:t>walking &amp; cycling environment</w:t>
      </w:r>
      <w:bookmarkEnd w:id="10"/>
      <w:bookmarkEnd w:id="11"/>
      <w:bookmarkEnd w:id="12"/>
      <w:bookmarkEnd w:id="13"/>
    </w:p>
    <w:p w14:paraId="7CFF5C07" w14:textId="56B793E5" w:rsidR="00E57011" w:rsidRPr="0029304B" w:rsidRDefault="007853EA" w:rsidP="000E2568">
      <w:r w:rsidRPr="0029304B">
        <w:t xml:space="preserve">Key to developing an effective non-motorised transport (NMT) strategy is having an in-depth understanding of the existing walking and cycling environment, and the extent to which it provides safe, convenient </w:t>
      </w:r>
      <w:r w:rsidR="00795EB5">
        <w:t>access for NMT users</w:t>
      </w:r>
      <w:r w:rsidRPr="0029304B">
        <w:t>.</w:t>
      </w:r>
    </w:p>
    <w:p w14:paraId="5E63BF7F" w14:textId="7B423571" w:rsidR="007853EA" w:rsidRPr="0029304B" w:rsidRDefault="007853EA" w:rsidP="007853EA">
      <w:pPr>
        <w:pStyle w:val="Heading2"/>
        <w:numPr>
          <w:ilvl w:val="1"/>
          <w:numId w:val="1"/>
        </w:numPr>
        <w:rPr>
          <w:lang w:val="en-GB"/>
        </w:rPr>
      </w:pPr>
      <w:bookmarkStart w:id="14" w:name="_Toc514529765"/>
      <w:bookmarkStart w:id="15" w:name="_Toc514589997"/>
      <w:bookmarkStart w:id="16" w:name="_Toc521100997"/>
      <w:bookmarkStart w:id="17" w:name="_Toc7200487"/>
      <w:r w:rsidRPr="0029304B">
        <w:rPr>
          <w:lang w:val="en-GB"/>
        </w:rPr>
        <w:t>Footpath</w:t>
      </w:r>
      <w:bookmarkEnd w:id="14"/>
      <w:r w:rsidRPr="0029304B">
        <w:rPr>
          <w:lang w:val="en-GB"/>
        </w:rPr>
        <w:t>s</w:t>
      </w:r>
      <w:bookmarkEnd w:id="15"/>
      <w:bookmarkEnd w:id="16"/>
      <w:bookmarkEnd w:id="17"/>
    </w:p>
    <w:p w14:paraId="33B65EAD" w14:textId="77777777" w:rsidR="007853EA" w:rsidRPr="0029304B" w:rsidRDefault="007853EA" w:rsidP="007853EA">
      <w:r w:rsidRPr="0029304B">
        <w:t>Footpaths are multifunctional spaces that typically include space for walking, street furniture, street lighting, utility boxes, and green infrastructure. Accessible and convenient footpaths should enable continuous and unobstructed mobility even during peak hours. This is best achieved when footpaths include a designated space free of fixed objects, major gaps or deformities. This usable space is referred to as the clear width, to be contrasted with the total footpath width from the building frontage to the kerbside. Streets should be designed with a minimum clear width of 2 m so that two wheelchairs can pass each other.</w:t>
      </w:r>
    </w:p>
    <w:p w14:paraId="6175AFB2" w14:textId="322FF591" w:rsidR="00F4017B" w:rsidRPr="00795EB5" w:rsidRDefault="00A967BF" w:rsidP="00F4017B">
      <w:r>
        <w:rPr>
          <w:rFonts w:eastAsia="Trebuchet MS"/>
          <w:noProof/>
        </w:rPr>
        <w:t xml:space="preserve"> </w:t>
      </w:r>
    </w:p>
    <w:p w14:paraId="2B5AC882" w14:textId="77777777" w:rsidR="00D05946" w:rsidRPr="0029304B" w:rsidRDefault="00D05946" w:rsidP="00F4017B">
      <w:pPr>
        <w:pStyle w:val="Heading2"/>
      </w:pPr>
      <w:bookmarkStart w:id="18" w:name="_Toc514529768"/>
      <w:bookmarkStart w:id="19" w:name="_Toc514589999"/>
      <w:bookmarkStart w:id="20" w:name="_Toc521100999"/>
      <w:bookmarkStart w:id="21" w:name="_Toc7200488"/>
      <w:r w:rsidRPr="0029304B">
        <w:t xml:space="preserve">Cycle </w:t>
      </w:r>
      <w:bookmarkEnd w:id="18"/>
      <w:r w:rsidRPr="00F4017B">
        <w:t>facilities</w:t>
      </w:r>
      <w:bookmarkEnd w:id="19"/>
      <w:bookmarkEnd w:id="20"/>
      <w:bookmarkEnd w:id="21"/>
    </w:p>
    <w:p w14:paraId="45C1F0FB" w14:textId="64C74CB3" w:rsidR="00DD7D8D" w:rsidRPr="0029304B" w:rsidRDefault="00795EB5" w:rsidP="00DD7D8D">
      <w:r>
        <w:t>[</w:t>
      </w:r>
      <w:r w:rsidR="00C32A96">
        <w:t>OBSERVATION OF THE PRESENT STATE OF THE CYCLE FACILITIES]</w:t>
      </w:r>
    </w:p>
    <w:p w14:paraId="0C6E74BD" w14:textId="4CD66467" w:rsidR="00DD7D8D" w:rsidRPr="0029304B" w:rsidRDefault="00DD7D8D" w:rsidP="00DD7D8D"/>
    <w:p w14:paraId="1E3B9A4F" w14:textId="77777777" w:rsidR="007853EA" w:rsidRPr="0029304B" w:rsidRDefault="007853EA" w:rsidP="007853EA">
      <w:pPr>
        <w:pStyle w:val="Heading2"/>
        <w:numPr>
          <w:ilvl w:val="1"/>
          <w:numId w:val="1"/>
        </w:numPr>
        <w:rPr>
          <w:lang w:val="en-GB"/>
        </w:rPr>
      </w:pPr>
      <w:bookmarkStart w:id="22" w:name="_Toc514529766"/>
      <w:bookmarkStart w:id="23" w:name="_Toc514589998"/>
      <w:bookmarkStart w:id="24" w:name="_Toc521100998"/>
      <w:bookmarkStart w:id="25" w:name="_Toc7200489"/>
      <w:r w:rsidRPr="0029304B">
        <w:rPr>
          <w:lang w:val="en-GB"/>
        </w:rPr>
        <w:lastRenderedPageBreak/>
        <w:t>Pedestrian crossings</w:t>
      </w:r>
      <w:bookmarkEnd w:id="22"/>
      <w:bookmarkEnd w:id="23"/>
      <w:bookmarkEnd w:id="24"/>
      <w:bookmarkEnd w:id="25"/>
    </w:p>
    <w:p w14:paraId="4081923C" w14:textId="137D4E30" w:rsidR="00BD0F7D" w:rsidRPr="0029304B" w:rsidRDefault="007853EA" w:rsidP="00BD0F7D">
      <w:r w:rsidRPr="0029304B">
        <w:t>Pedestrians may have difficulty crossing high-speed streets in the absence of traffic signals or physical measures to reduce vehicle speeds. As crossings are a primary cause of pedestrian deaths, crossings should be made safer through traffic calming, signals, pedestrian islands, curb extensions that minimise crossing distances, and other pedestrian safety measures. This is particularly helpful to people who move at slower speeds, such as the elderly, people with disabilities and children. Intersection designs should be as self-enforcing as possible. Universal accessibility principles dictate that crossings be built so that pedestrians in wheelchairs are able to cross without any detours. This can be done through ramps to bring pedestrians from the sidewalk down to the street level crosswalk, or with raised crosswalks that remain at sidewalk level across the intersection</w:t>
      </w:r>
    </w:p>
    <w:p w14:paraId="59EF730A" w14:textId="77777777" w:rsidR="000702D9" w:rsidRPr="0029304B" w:rsidRDefault="000702D9" w:rsidP="000702D9">
      <w:pPr>
        <w:pStyle w:val="Heading2"/>
        <w:numPr>
          <w:ilvl w:val="1"/>
          <w:numId w:val="1"/>
        </w:numPr>
        <w:rPr>
          <w:lang w:val="en-GB"/>
        </w:rPr>
      </w:pPr>
      <w:bookmarkStart w:id="26" w:name="_Toc514590001"/>
      <w:bookmarkStart w:id="27" w:name="_Toc521101001"/>
      <w:bookmarkStart w:id="28" w:name="_Toc7200490"/>
      <w:r w:rsidRPr="0029304B">
        <w:rPr>
          <w:lang w:val="en-GB"/>
        </w:rPr>
        <w:t>Parking management</w:t>
      </w:r>
      <w:bookmarkEnd w:id="26"/>
      <w:bookmarkEnd w:id="27"/>
      <w:bookmarkEnd w:id="28"/>
    </w:p>
    <w:p w14:paraId="4294AD2E" w14:textId="6F3E187B" w:rsidR="007853EA" w:rsidRPr="0029304B" w:rsidRDefault="00120101" w:rsidP="008F00AB">
      <w:r w:rsidRPr="0029304B">
        <w:t xml:space="preserve">Increasing number of private cars leads to traffic congestion as drivers often spend time on the road looking for a suitable parking near their destination. </w:t>
      </w:r>
      <w:r w:rsidR="00BA600A" w:rsidRPr="0029304B">
        <w:t>Cities such a Copenhagen and Tokyo have realised the adverse effects of excessive supply of parking on traffic congestion.</w:t>
      </w:r>
      <w:r w:rsidR="002020EC" w:rsidRPr="0029304B">
        <w:t xml:space="preserve"> Unregulated</w:t>
      </w:r>
      <w:r w:rsidR="00BA600A" w:rsidRPr="0029304B">
        <w:t xml:space="preserve"> parking results in traffic congestion, air pollution and poor utilization of valuable space in cities. To overcome this challenges, urban areas should </w:t>
      </w:r>
      <w:r w:rsidR="002020EC" w:rsidRPr="0029304B">
        <w:t>have developed</w:t>
      </w:r>
      <w:r w:rsidR="00BA600A" w:rsidRPr="0029304B">
        <w:t xml:space="preserve"> parking policies and regulations </w:t>
      </w:r>
      <w:r w:rsidR="002020EC" w:rsidRPr="0029304B">
        <w:t>that</w:t>
      </w:r>
      <w:r w:rsidR="00BA600A" w:rsidRPr="0029304B">
        <w:t xml:space="preserve"> restrict parking within the citi</w:t>
      </w:r>
      <w:r w:rsidR="002020EC" w:rsidRPr="0029304B">
        <w:t>es and introduce time-based pricing mechanism for parking spaces.</w:t>
      </w:r>
      <w:r w:rsidR="00A967BF">
        <w:t xml:space="preserve"> </w:t>
      </w:r>
    </w:p>
    <w:p w14:paraId="090BC11E" w14:textId="77777777" w:rsidR="00FD7942" w:rsidRPr="0029304B" w:rsidRDefault="00FD7942" w:rsidP="008F00AB">
      <w:pPr>
        <w:pStyle w:val="Heading2"/>
        <w:rPr>
          <w:lang w:val="en-GB"/>
        </w:rPr>
      </w:pPr>
      <w:bookmarkStart w:id="29" w:name="_Toc7200491"/>
      <w:r w:rsidRPr="0029304B">
        <w:rPr>
          <w:lang w:val="en-GB"/>
        </w:rPr>
        <w:t>Street lighting</w:t>
      </w:r>
      <w:bookmarkEnd w:id="29"/>
    </w:p>
    <w:p w14:paraId="2F65C734" w14:textId="75F8FB2B" w:rsidR="00FD7942" w:rsidRDefault="00C32A96" w:rsidP="00FD7942">
      <w:r>
        <w:t>[OBSERVATIONS O</w:t>
      </w:r>
      <w:r w:rsidR="00443676">
        <w:t>F</w:t>
      </w:r>
      <w:r>
        <w:t xml:space="preserve"> STREET LIGHTING ON URBAN STREETS]</w:t>
      </w:r>
    </w:p>
    <w:p w14:paraId="445F99AF" w14:textId="77777777" w:rsidR="00FD7942" w:rsidRPr="0029304B" w:rsidRDefault="00FD7942" w:rsidP="00FD7942">
      <w:pPr>
        <w:pStyle w:val="Heading2"/>
        <w:numPr>
          <w:ilvl w:val="1"/>
          <w:numId w:val="1"/>
        </w:numPr>
        <w:rPr>
          <w:lang w:val="en-GB"/>
        </w:rPr>
      </w:pPr>
      <w:bookmarkStart w:id="30" w:name="_Toc514529774"/>
      <w:bookmarkStart w:id="31" w:name="_Toc514590004"/>
      <w:bookmarkStart w:id="32" w:name="_Toc521101004"/>
      <w:bookmarkStart w:id="33" w:name="_Toc7200492"/>
      <w:r w:rsidRPr="0029304B">
        <w:rPr>
          <w:lang w:val="en-GB"/>
        </w:rPr>
        <w:t xml:space="preserve">Storm water </w:t>
      </w:r>
      <w:bookmarkEnd w:id="30"/>
      <w:r w:rsidRPr="0029304B">
        <w:rPr>
          <w:lang w:val="en-GB"/>
        </w:rPr>
        <w:t>management</w:t>
      </w:r>
      <w:bookmarkEnd w:id="31"/>
      <w:bookmarkEnd w:id="32"/>
      <w:bookmarkEnd w:id="33"/>
    </w:p>
    <w:p w14:paraId="4C5615A0" w14:textId="319EC879" w:rsidR="00BD0F7D" w:rsidRDefault="00C32A96" w:rsidP="00867480">
      <w:pPr>
        <w:spacing w:after="80"/>
      </w:pPr>
      <w:r>
        <w:t>[OBSERVATION</w:t>
      </w:r>
      <w:r w:rsidR="00443676">
        <w:t>S</w:t>
      </w:r>
      <w:r>
        <w:t xml:space="preserve"> OF RAINFALL RUNOFF ROUTING SYSTEM]</w:t>
      </w:r>
    </w:p>
    <w:p w14:paraId="6919099E" w14:textId="18ABD4F8" w:rsidR="00C874B6" w:rsidRDefault="00C874B6" w:rsidP="00C874B6">
      <w:pPr>
        <w:pStyle w:val="Heading2"/>
      </w:pPr>
      <w:r>
        <w:t>Building design</w:t>
      </w:r>
    </w:p>
    <w:p w14:paraId="5B703161" w14:textId="68A829D9" w:rsidR="00E17F47" w:rsidRPr="0030167C" w:rsidRDefault="00E17F47" w:rsidP="00E17F47">
      <w:pPr>
        <w:spacing w:before="120" w:line="276" w:lineRule="auto"/>
      </w:pPr>
      <w:r w:rsidRPr="0030167C">
        <w:t>Good quality active frontage can significantly contribute to creating a lively, and attractive public space, affecting people</w:t>
      </w:r>
      <w:r>
        <w:t>’</w:t>
      </w:r>
      <w:r w:rsidRPr="0030167C">
        <w:t>s perception in terms of safety, and thus encourage more walking. To develop animated streets, it is essential to assure a wide variety of uses on the ground floor, such as workplaces, storefront shops, restaurants, residences, and services. Those activities should have a visual connection with the exterior, to also promote a better perception of safety.</w:t>
      </w:r>
    </w:p>
    <w:p w14:paraId="2CB7F154" w14:textId="47315D86" w:rsidR="00C874B6" w:rsidRPr="0029304B" w:rsidRDefault="00E17F47" w:rsidP="00905255">
      <w:pPr>
        <w:spacing w:before="120" w:line="276" w:lineRule="auto"/>
      </w:pPr>
      <w:r w:rsidRPr="0030167C">
        <w:t xml:space="preserve">Cities should promote visually active frontages to promote more animated and secure streets. </w:t>
      </w:r>
    </w:p>
    <w:p w14:paraId="7A046CCC" w14:textId="5AD6B394" w:rsidR="00BF7843" w:rsidRPr="0036484B" w:rsidRDefault="00BF7843" w:rsidP="0036484B">
      <w:pPr>
        <w:pStyle w:val="Heading1"/>
      </w:pPr>
      <w:bookmarkStart w:id="34" w:name="_Toc7200493"/>
      <w:r w:rsidRPr="008F00AB">
        <w:t xml:space="preserve">Road </w:t>
      </w:r>
      <w:r w:rsidR="004D5E99">
        <w:t>s</w:t>
      </w:r>
      <w:r w:rsidRPr="008F00AB">
        <w:t>afety</w:t>
      </w:r>
      <w:bookmarkEnd w:id="34"/>
    </w:p>
    <w:p w14:paraId="6CBD7108" w14:textId="39D2AAFB" w:rsidR="000E2568" w:rsidRDefault="006F4BE4" w:rsidP="000E2568">
      <w:r>
        <w:t xml:space="preserve"> </w:t>
      </w:r>
      <w:r w:rsidR="00107706">
        <w:t>[</w:t>
      </w:r>
      <w:r w:rsidR="001D6A09">
        <w:t>DISCUSS CITY ROAD SAFETY/CARNAGE STATISTICS</w:t>
      </w:r>
      <w:r w:rsidR="00107706">
        <w:t>]</w:t>
      </w:r>
    </w:p>
    <w:p w14:paraId="50F3C49D" w14:textId="77777777" w:rsidR="000E4B3C" w:rsidRPr="0029304B" w:rsidRDefault="000E4B3C" w:rsidP="000E2568"/>
    <w:p w14:paraId="421E6618" w14:textId="4C474F48" w:rsidR="00A848D8" w:rsidRDefault="00F4017B" w:rsidP="00905255">
      <w:pPr>
        <w:pStyle w:val="Heading1"/>
        <w:numPr>
          <w:ilvl w:val="0"/>
          <w:numId w:val="1"/>
        </w:numPr>
      </w:pPr>
      <w:bookmarkStart w:id="35" w:name="_Toc514529776"/>
      <w:bookmarkStart w:id="36" w:name="_Toc514590006"/>
      <w:bookmarkStart w:id="37" w:name="_Toc521101006"/>
      <w:bookmarkStart w:id="38" w:name="_Toc7200494"/>
      <w:bookmarkEnd w:id="8"/>
      <w:bookmarkEnd w:id="9"/>
      <w:r>
        <w:t>Assessment of the i</w:t>
      </w:r>
      <w:r w:rsidR="00A848D8" w:rsidRPr="0029304B">
        <w:t>nstitutional &amp; legal framework</w:t>
      </w:r>
      <w:bookmarkEnd w:id="35"/>
      <w:bookmarkEnd w:id="36"/>
      <w:bookmarkEnd w:id="37"/>
      <w:bookmarkEnd w:id="38"/>
    </w:p>
    <w:p w14:paraId="233F898D" w14:textId="77777777" w:rsidR="00A848D8" w:rsidRPr="0029304B" w:rsidRDefault="00A848D8" w:rsidP="00A848D8">
      <w:pPr>
        <w:pStyle w:val="Heading2"/>
        <w:numPr>
          <w:ilvl w:val="1"/>
          <w:numId w:val="1"/>
        </w:numPr>
        <w:rPr>
          <w:lang w:val="en-GB"/>
        </w:rPr>
      </w:pPr>
      <w:bookmarkStart w:id="39" w:name="_Toc521101007"/>
      <w:bookmarkStart w:id="40" w:name="_Toc7200495"/>
      <w:r w:rsidRPr="0029304B">
        <w:rPr>
          <w:lang w:val="en-GB"/>
        </w:rPr>
        <w:t>Institutional structure</w:t>
      </w:r>
      <w:bookmarkEnd w:id="39"/>
      <w:bookmarkEnd w:id="40"/>
    </w:p>
    <w:p w14:paraId="521C89AB" w14:textId="64C95F07" w:rsidR="002C49D3" w:rsidRDefault="00C32A96" w:rsidP="00A848D8">
      <w:r>
        <w:t>[DISCUSS MANAGEMENT AND COORDINATION OF AGENCIES MANAGING THE TRANSPORT SECTOR]</w:t>
      </w:r>
    </w:p>
    <w:p w14:paraId="6868AEBD" w14:textId="004AB5DD" w:rsidR="00C82C79" w:rsidRDefault="00C32A96" w:rsidP="00A848D8">
      <w:r>
        <w:t>[DISCUSS INSTITUTIONAL ARRANGEMENTS AND GOVERNANCE]</w:t>
      </w:r>
    </w:p>
    <w:p w14:paraId="760AA49F" w14:textId="1A14DEC0" w:rsidR="00C82C79" w:rsidRDefault="00C32A96" w:rsidP="00A848D8">
      <w:r>
        <w:lastRenderedPageBreak/>
        <w:t>[DISCUSS INSTITUTIONAL ROLES AND RESPONSIBILITIES]</w:t>
      </w:r>
    </w:p>
    <w:p w14:paraId="39EC64E8" w14:textId="4F1A0532" w:rsidR="00C32A96" w:rsidRPr="00C32A96" w:rsidRDefault="00A848D8" w:rsidP="00C32A96">
      <w:pPr>
        <w:pStyle w:val="Heading2"/>
        <w:numPr>
          <w:ilvl w:val="1"/>
          <w:numId w:val="1"/>
        </w:numPr>
        <w:rPr>
          <w:lang w:val="en-GB"/>
        </w:rPr>
      </w:pPr>
      <w:bookmarkStart w:id="41" w:name="_Toc521101008"/>
      <w:bookmarkStart w:id="42" w:name="_Toc7200496"/>
      <w:r w:rsidRPr="0029304B">
        <w:rPr>
          <w:lang w:val="en-GB"/>
        </w:rPr>
        <w:t>Policies and legislation</w:t>
      </w:r>
      <w:bookmarkEnd w:id="41"/>
      <w:bookmarkEnd w:id="42"/>
    </w:p>
    <w:p w14:paraId="55B2147D" w14:textId="3EC0AADF" w:rsidR="002C49D3" w:rsidRPr="002C49D3" w:rsidRDefault="00C32A96" w:rsidP="002C49D3">
      <w:pPr>
        <w:rPr>
          <w:rStyle w:val="Strong"/>
          <w:b w:val="0"/>
        </w:rPr>
      </w:pPr>
      <w:bookmarkStart w:id="43" w:name="_Toc7200497"/>
      <w:r w:rsidRPr="002C49D3">
        <w:rPr>
          <w:rStyle w:val="Strong"/>
          <w:b w:val="0"/>
        </w:rPr>
        <w:t>[</w:t>
      </w:r>
      <w:r>
        <w:rPr>
          <w:rStyle w:val="Strong"/>
          <w:b w:val="0"/>
        </w:rPr>
        <w:t xml:space="preserve">DISCUSS THE COUNTRY’S </w:t>
      </w:r>
      <w:r w:rsidRPr="002C49D3">
        <w:rPr>
          <w:rStyle w:val="Strong"/>
          <w:b w:val="0"/>
        </w:rPr>
        <w:t>LEGISLATIVE AND POLICY CONTEXT]</w:t>
      </w:r>
    </w:p>
    <w:p w14:paraId="40629231" w14:textId="73DE2425" w:rsidR="005B12CD" w:rsidRDefault="005B12CD" w:rsidP="00E23FCA">
      <w:pPr>
        <w:pStyle w:val="Heading2"/>
      </w:pPr>
      <w:r>
        <w:t>Import tariffs</w:t>
      </w:r>
      <w:bookmarkEnd w:id="43"/>
    </w:p>
    <w:p w14:paraId="2C1D9AA0" w14:textId="535BFBFB" w:rsidR="005B12CD" w:rsidRPr="0029304B" w:rsidRDefault="00C32A96" w:rsidP="00A848D8">
      <w:r>
        <w:t>[EXPLORE TAX IMPLICATIONS]</w:t>
      </w:r>
    </w:p>
    <w:p w14:paraId="2D7F69C8" w14:textId="1482DB76" w:rsidR="00A848D8" w:rsidRDefault="00F4017B" w:rsidP="00A848D8">
      <w:pPr>
        <w:pStyle w:val="Heading1"/>
        <w:numPr>
          <w:ilvl w:val="0"/>
          <w:numId w:val="1"/>
        </w:numPr>
        <w:rPr>
          <w:color w:val="000000" w:themeColor="text1"/>
        </w:rPr>
      </w:pPr>
      <w:bookmarkStart w:id="44" w:name="_Toc514529777"/>
      <w:bookmarkStart w:id="45" w:name="_Toc514590007"/>
      <w:bookmarkStart w:id="46" w:name="_Toc521101009"/>
      <w:bookmarkStart w:id="47" w:name="_Toc7200498"/>
      <w:r w:rsidRPr="006E7C69">
        <w:rPr>
          <w:color w:val="000000" w:themeColor="text1"/>
        </w:rPr>
        <w:t>Assessment of d</w:t>
      </w:r>
      <w:r w:rsidR="00A848D8" w:rsidRPr="006E7C69">
        <w:rPr>
          <w:color w:val="000000" w:themeColor="text1"/>
        </w:rPr>
        <w:t>esign</w:t>
      </w:r>
      <w:r w:rsidRPr="006E7C69">
        <w:rPr>
          <w:color w:val="000000" w:themeColor="text1"/>
        </w:rPr>
        <w:t xml:space="preserve"> s</w:t>
      </w:r>
      <w:r w:rsidR="00A848D8" w:rsidRPr="006E7C69">
        <w:rPr>
          <w:color w:val="000000" w:themeColor="text1"/>
        </w:rPr>
        <w:t xml:space="preserve">tandards &amp; </w:t>
      </w:r>
      <w:bookmarkEnd w:id="44"/>
      <w:bookmarkEnd w:id="45"/>
      <w:bookmarkEnd w:id="46"/>
      <w:bookmarkEnd w:id="47"/>
      <w:r w:rsidR="002C49D3" w:rsidRPr="006E7C69">
        <w:rPr>
          <w:color w:val="000000" w:themeColor="text1"/>
        </w:rPr>
        <w:t>Highway Code</w:t>
      </w:r>
    </w:p>
    <w:p w14:paraId="0D107AC9" w14:textId="77777777" w:rsidR="00C32A96" w:rsidRDefault="00C32A96" w:rsidP="00C32A96"/>
    <w:p w14:paraId="7B29FFBA" w14:textId="4A4C1B17" w:rsidR="006E7C69" w:rsidRDefault="00C32A96" w:rsidP="00C32A96">
      <w:r>
        <w:t>[REVIEW EXISTING DESIGN STANDARDS &amp; HIGHWAY POLICIES]</w:t>
      </w:r>
    </w:p>
    <w:p w14:paraId="64B80BC2" w14:textId="77777777" w:rsidR="00C32A96" w:rsidRPr="00C32A96" w:rsidRDefault="00C32A96" w:rsidP="00C32A96"/>
    <w:p w14:paraId="444B1447" w14:textId="0949E520" w:rsidR="00A848D8" w:rsidRDefault="00A848D8" w:rsidP="008F00AB">
      <w:pPr>
        <w:pStyle w:val="Heading2"/>
        <w:rPr>
          <w:lang w:val="en-GB"/>
        </w:rPr>
      </w:pPr>
      <w:bookmarkStart w:id="48" w:name="_Toc521101012"/>
      <w:bookmarkStart w:id="49" w:name="_Toc7200501"/>
      <w:r w:rsidRPr="0029304B">
        <w:rPr>
          <w:lang w:val="en-GB"/>
        </w:rPr>
        <w:t>Land use regulations</w:t>
      </w:r>
      <w:bookmarkEnd w:id="48"/>
      <w:bookmarkEnd w:id="49"/>
    </w:p>
    <w:p w14:paraId="72E7BE69" w14:textId="77777777" w:rsidR="00C32A96" w:rsidRPr="0029304B" w:rsidRDefault="00C32A96" w:rsidP="00C32A96">
      <w:pPr>
        <w:pStyle w:val="Heading2"/>
        <w:numPr>
          <w:ilvl w:val="0"/>
          <w:numId w:val="0"/>
        </w:numPr>
        <w:ind w:left="576"/>
        <w:rPr>
          <w:lang w:val="en-GB"/>
        </w:rPr>
      </w:pPr>
    </w:p>
    <w:p w14:paraId="74012DDB" w14:textId="01801629" w:rsidR="00A848D8" w:rsidRPr="0029304B" w:rsidRDefault="00C32A96" w:rsidP="00F4017B">
      <w:r>
        <w:t>[REVIEW EXISTING POLICIES REGULATING LAND USE: DENSITIES, MIXED USES, BLOCK SIZES ETC]</w:t>
      </w:r>
    </w:p>
    <w:p w14:paraId="0EF9DF2A" w14:textId="0F44A56E" w:rsidR="00D4283F" w:rsidRDefault="00C26467" w:rsidP="00905255">
      <w:pPr>
        <w:pStyle w:val="Heading1"/>
        <w:numPr>
          <w:ilvl w:val="0"/>
          <w:numId w:val="1"/>
        </w:numPr>
      </w:pPr>
      <w:bookmarkStart w:id="50" w:name="_Toc524809092"/>
      <w:bookmarkStart w:id="51" w:name="_Toc526259612"/>
      <w:bookmarkStart w:id="52" w:name="_Toc7200502"/>
      <w:r>
        <w:t>Guiding p</w:t>
      </w:r>
      <w:r w:rsidR="000E2568" w:rsidRPr="0029304B">
        <w:t xml:space="preserve">rinciples for </w:t>
      </w:r>
      <w:bookmarkEnd w:id="50"/>
      <w:bookmarkEnd w:id="51"/>
      <w:r>
        <w:t>the NMT Strategy</w:t>
      </w:r>
      <w:bookmarkStart w:id="53" w:name="_Toc7200503"/>
      <w:bookmarkEnd w:id="52"/>
    </w:p>
    <w:p w14:paraId="28759AA3" w14:textId="3004054D" w:rsidR="00C26467" w:rsidRDefault="00C26467" w:rsidP="00C26467">
      <w:pPr>
        <w:pStyle w:val="Heading2"/>
      </w:pPr>
      <w:r>
        <w:t>Safety</w:t>
      </w:r>
      <w:bookmarkEnd w:id="53"/>
    </w:p>
    <w:p w14:paraId="054E6884" w14:textId="120A1934" w:rsidR="00212E75" w:rsidRPr="0029304B" w:rsidRDefault="00212E75" w:rsidP="00212E75">
      <w:r w:rsidRPr="0029304B">
        <w:t>Making non-motorised modes of transport viable and convenient requires rebalancing street space so that it caters to all modes transport. The physical design of streets and the provision of sidewalks, crossings, and other walking infrastructure is crucial to creating a high-quality walking environment. Accommodating NMT involves two basic techniques:</w:t>
      </w:r>
    </w:p>
    <w:p w14:paraId="2C0C38CA" w14:textId="77777777" w:rsidR="00212E75" w:rsidRPr="0029304B" w:rsidRDefault="00212E75" w:rsidP="006B41F2">
      <w:pPr>
        <w:pStyle w:val="ListParagraph"/>
        <w:numPr>
          <w:ilvl w:val="0"/>
          <w:numId w:val="8"/>
        </w:numPr>
      </w:pPr>
      <w:r w:rsidRPr="0029304B">
        <w:rPr>
          <w:rStyle w:val="Strong"/>
        </w:rPr>
        <w:t>Systematic traffic calming on smaller streets</w:t>
      </w:r>
      <w:r w:rsidRPr="0029304B">
        <w:t xml:space="preserve"> to reduce motor vehicle speeds and provide safe places for the mixing of pedestrians and other modes (shared lanes); and, </w:t>
      </w:r>
    </w:p>
    <w:p w14:paraId="6BEB76FF" w14:textId="23B95719" w:rsidR="00212E75" w:rsidRPr="0029304B" w:rsidRDefault="00212E75" w:rsidP="006B41F2">
      <w:pPr>
        <w:pStyle w:val="ListParagraph"/>
        <w:numPr>
          <w:ilvl w:val="0"/>
          <w:numId w:val="8"/>
        </w:numPr>
      </w:pPr>
      <w:r w:rsidRPr="0029304B">
        <w:rPr>
          <w:rStyle w:val="Strong"/>
        </w:rPr>
        <w:t>Pedestrian and cycle infrastructure that is physically separated from motor vehicle traffic on larger streets</w:t>
      </w:r>
      <w:r w:rsidRPr="0029304B">
        <w:t>, paired with traffic calming or traffic control to facilitate safe crossings. Pedestrian footpaths should provide clear space for walking, with other elements positioned in a strategic manner. These elements include paving, landscape planting, street lighting, street furniture, public facilities, underground utility access points, and other sidewalk amenities. There are also features that make streets more accessible, including curb ramps, tactile paving, and traffic signs. Similarly, dedicated cycle tracks should be provided, separate from the mixed traffic carriageway. Large streets require signalisation or traffic calming at crossings and intersections to enable pedestrians and cyclists to cross the street safely.</w:t>
      </w:r>
    </w:p>
    <w:p w14:paraId="5DBEB842" w14:textId="5BE32DB1" w:rsidR="00212E75" w:rsidRDefault="00212E75" w:rsidP="00212E75">
      <w:r w:rsidRPr="0029304B">
        <w:t>Safe street design also aims to encourage moderate vehicle speeds. Street designs that reduce motor vehicle speeds can significantly improve pedestrian safety since the likelihood of pedestrian death in a traffic collision increases dramatically when motor vehicle speeds rise above 30 km/h. A pedestrian has a 90 per cent chance of surviving being hit by a car travelling less than 30 km/h, but only a 50 per cent chance of surviving impacts at 45 km/h.</w:t>
      </w:r>
    </w:p>
    <w:p w14:paraId="097DC3D0" w14:textId="4566183B" w:rsidR="0079339F" w:rsidRPr="00020F17" w:rsidRDefault="00AE1AFA" w:rsidP="00020F17">
      <w:r w:rsidRPr="0029304B">
        <w:lastRenderedPageBreak/>
        <w:t xml:space="preserve">A high-quality NMT environment recognises city streets not just as spaces for the movement of vehicles but also as inter-connected spaces where people walk, talk, cycle, shop and perform the multitude of functions that are critical to the health of cities. Streets are the most valuable assets in any city and maximising their potential requires a “complete” approach to street planning and design. This can be achieved by applying a set of well-defined principles and standards that target street </w:t>
      </w:r>
      <w:r w:rsidRPr="00020F17">
        <w:t>design, building design, and network design.</w:t>
      </w:r>
      <w:bookmarkStart w:id="54" w:name="_Toc524809093"/>
      <w:bookmarkStart w:id="55" w:name="_Toc526259613"/>
    </w:p>
    <w:p w14:paraId="78BC6C6B" w14:textId="3F6DE12B" w:rsidR="00020F17" w:rsidRPr="00020F17" w:rsidRDefault="00020F17" w:rsidP="00020F17">
      <w:pPr>
        <w:pStyle w:val="Heading2"/>
      </w:pPr>
      <w:bookmarkStart w:id="56" w:name="_Toc7200504"/>
      <w:r w:rsidRPr="00020F17">
        <w:t>Universal access</w:t>
      </w:r>
      <w:bookmarkEnd w:id="56"/>
    </w:p>
    <w:p w14:paraId="0E708B1B" w14:textId="6B6FF0F8" w:rsidR="00020F17" w:rsidRPr="00020F17" w:rsidRDefault="00020F17" w:rsidP="00020F17">
      <w:r w:rsidRPr="00020F17">
        <w:t xml:space="preserve">All citizens of </w:t>
      </w:r>
      <w:r w:rsidR="00F83D35" w:rsidRPr="00F83D35">
        <w:t>[COUNTRY]</w:t>
      </w:r>
      <w:r w:rsidRPr="00020F17">
        <w:t xml:space="preserve"> have the right to safe and efficient urban transport services and infrastructure. </w:t>
      </w:r>
      <w:r>
        <w:t xml:space="preserve">The </w:t>
      </w:r>
      <w:r w:rsidRPr="00020F17">
        <w:t xml:space="preserve">NMT Strategy will ensure universal access in provision of urban transport infrastructure and services. Universal access is the concept of designing transport services and environments that as many people as possible can use, regardless of age or ability. Streets designed according to universal access principles accommodate assistive devices for particular groups of persons with disabilities. </w:t>
      </w:r>
    </w:p>
    <w:p w14:paraId="1B628951" w14:textId="5C7370A7" w:rsidR="00020F17" w:rsidRPr="00020F17" w:rsidRDefault="00020F17" w:rsidP="00020F17">
      <w:r w:rsidRPr="00020F17">
        <w:t xml:space="preserve">In order to ensure that persons with disabilities can make complete journeys, needs should be accommodated in each step of the transport chain, from origin to destination. Accessibility to transport is only as strong as its weakest link, so inclusive design must cover public passage, public transport </w:t>
      </w:r>
      <w:proofErr w:type="gramStart"/>
      <w:r w:rsidRPr="00020F17">
        <w:t>stop</w:t>
      </w:r>
      <w:proofErr w:type="gramEnd"/>
      <w:r w:rsidRPr="00020F17">
        <w:t xml:space="preserve"> and boarding, vehicle interiors, alighting, and passage to the final destination. </w:t>
      </w:r>
    </w:p>
    <w:p w14:paraId="36BA3B9A" w14:textId="3A55F6A0" w:rsidR="000E4B3C" w:rsidRPr="00020F17" w:rsidRDefault="00020F17" w:rsidP="00020F17">
      <w:r w:rsidRPr="00020F17">
        <w:t>An accessible environment has ample, well connected pedestrian facilities with unobstructed space for movement, consistent pavement surfaces, appropriately sloped ramps, and safe pedestrian crossings. Multiple elements of the streetscape must be designed in an integrated manner in order for the space to work. People with small children, people carrying heavy shopping or luggage, people with temporary accident injuries</w:t>
      </w:r>
      <w:r>
        <w:t>,</w:t>
      </w:r>
      <w:r w:rsidRPr="00020F17">
        <w:t xml:space="preserve"> and older people can all benefit from an inclusive transport environment.</w:t>
      </w:r>
    </w:p>
    <w:p w14:paraId="0B084B62" w14:textId="70C25351" w:rsidR="00020F17" w:rsidRPr="00020F17" w:rsidRDefault="00020F17" w:rsidP="00020F17">
      <w:pPr>
        <w:pStyle w:val="Heading2"/>
      </w:pPr>
      <w:bookmarkStart w:id="57" w:name="_Toc7200505"/>
      <w:r w:rsidRPr="00020F17">
        <w:t>Equity &amp; social justice</w:t>
      </w:r>
      <w:bookmarkEnd w:id="57"/>
    </w:p>
    <w:p w14:paraId="75640BFB" w14:textId="1DAEC7EC" w:rsidR="00020F17" w:rsidRDefault="00F83D35" w:rsidP="00020F17">
      <w:r>
        <w:t xml:space="preserve">The </w:t>
      </w:r>
      <w:r w:rsidRPr="00F83D35">
        <w:t>[COUNTRY]</w:t>
      </w:r>
      <w:r w:rsidR="00020F17" w:rsidRPr="00020F17">
        <w:t xml:space="preserve"> will ensure </w:t>
      </w:r>
      <w:r w:rsidR="003E7C5C">
        <w:t xml:space="preserve">an </w:t>
      </w:r>
      <w:r w:rsidR="00020F17" w:rsidRPr="00020F17">
        <w:t xml:space="preserve">equitable allocation of resources to the various urban transport modes and equitable access to efficient </w:t>
      </w:r>
      <w:r w:rsidR="00020F17">
        <w:t>and</w:t>
      </w:r>
      <w:r w:rsidR="00020F17" w:rsidRPr="00020F17">
        <w:t xml:space="preserve"> safe transport services</w:t>
      </w:r>
      <w:r w:rsidR="003E7C5C">
        <w:t>. Transport investments will prioritise modes used by lower income groups, including walking, cycling, and public transport.</w:t>
      </w:r>
    </w:p>
    <w:p w14:paraId="7ADA73F0" w14:textId="3B0616FC" w:rsidR="003E7C5C" w:rsidRPr="003E7C5C" w:rsidRDefault="003E7C5C" w:rsidP="003E7C5C">
      <w:r>
        <w:t>The Strategy also seeks to ensure gender equity by supporting the development of an</w:t>
      </w:r>
      <w:r w:rsidRPr="003E7C5C">
        <w:t xml:space="preserve"> integrated and safe transport system </w:t>
      </w:r>
      <w:r>
        <w:t xml:space="preserve">that </w:t>
      </w:r>
      <w:r w:rsidRPr="003E7C5C">
        <w:t xml:space="preserve">provides access to education, work, health care, cultural, and other important activities that are crucial to women’s participation in the society. Of particular concern in the context of street design is the level of safety and security that female users experience. Inclusive designs help to improve the experiences of women and girls, making it easy to walk, cycle, or use public transport. </w:t>
      </w:r>
    </w:p>
    <w:p w14:paraId="73D5AC4C" w14:textId="53D8670B" w:rsidR="00C26467" w:rsidRPr="00020F17" w:rsidRDefault="00020F17" w:rsidP="00020F17">
      <w:pPr>
        <w:pStyle w:val="Heading2"/>
      </w:pPr>
      <w:bookmarkStart w:id="58" w:name="_Toc7200506"/>
      <w:r w:rsidRPr="00020F17">
        <w:t>Collaboration</w:t>
      </w:r>
      <w:bookmarkEnd w:id="58"/>
    </w:p>
    <w:p w14:paraId="5BA0C8CF" w14:textId="065A1A8A" w:rsidR="00020F17" w:rsidRDefault="00020F17" w:rsidP="00020F17">
      <w:r w:rsidRPr="00020F17">
        <w:t xml:space="preserve">Provision of urban transport services and infrastructure is complex task that calls for concerted efforts and participation of all relevant stakeholders. Development and implementation of </w:t>
      </w:r>
      <w:r w:rsidR="00F83D35">
        <w:t>the</w:t>
      </w:r>
      <w:r w:rsidR="00F83D35" w:rsidRPr="00F83D35">
        <w:t xml:space="preserve"> [COUNTRY]</w:t>
      </w:r>
      <w:r w:rsidRPr="00020F17">
        <w:t xml:space="preserve"> NMT Strategy will be achieved through close collaboration </w:t>
      </w:r>
      <w:r w:rsidR="003E7C5C">
        <w:t>among</w:t>
      </w:r>
      <w:r w:rsidRPr="00020F17">
        <w:t xml:space="preserve"> government department</w:t>
      </w:r>
      <w:r w:rsidR="003E7C5C">
        <w:t xml:space="preserve">s, civil society, the </w:t>
      </w:r>
      <w:r w:rsidRPr="00020F17">
        <w:t>private sector</w:t>
      </w:r>
      <w:r w:rsidR="003E7C5C">
        <w:t xml:space="preserve">, </w:t>
      </w:r>
      <w:r w:rsidRPr="00020F17">
        <w:t>and other</w:t>
      </w:r>
      <w:r w:rsidR="003E7C5C">
        <w:t xml:space="preserve"> partners.</w:t>
      </w:r>
    </w:p>
    <w:p w14:paraId="06D7DE21" w14:textId="227155F5" w:rsidR="00443676" w:rsidRDefault="00443676" w:rsidP="00020F17"/>
    <w:p w14:paraId="70FB53CB" w14:textId="77777777" w:rsidR="00443676" w:rsidRDefault="00443676" w:rsidP="00020F17"/>
    <w:p w14:paraId="3B31D739" w14:textId="77777777" w:rsidR="001D6A09" w:rsidRPr="00020F17" w:rsidRDefault="001D6A09" w:rsidP="00020F17"/>
    <w:p w14:paraId="47242395" w14:textId="77777777" w:rsidR="00020F17" w:rsidRPr="00020F17" w:rsidRDefault="00020F17" w:rsidP="00020F17">
      <w:pPr>
        <w:pStyle w:val="Heading2"/>
      </w:pPr>
      <w:bookmarkStart w:id="59" w:name="_Toc7200507"/>
      <w:r w:rsidRPr="00020F17">
        <w:lastRenderedPageBreak/>
        <w:t>Environmental sustainability</w:t>
      </w:r>
      <w:bookmarkEnd w:id="59"/>
    </w:p>
    <w:p w14:paraId="5075D77B" w14:textId="0B796C84" w:rsidR="00020F17" w:rsidRPr="00020F17" w:rsidRDefault="00020F17" w:rsidP="00020F17">
      <w:r w:rsidRPr="00020F17">
        <w:t>The government will prioritise urban transport modes that minimise emissions of harmful local pollutants and greenhouse gas emissions.</w:t>
      </w:r>
    </w:p>
    <w:p w14:paraId="70F821D6" w14:textId="7BC371F6" w:rsidR="00020F17" w:rsidRPr="00020F17" w:rsidRDefault="00020F17" w:rsidP="00020F17">
      <w:pPr>
        <w:pStyle w:val="Heading2"/>
      </w:pPr>
      <w:bookmarkStart w:id="60" w:name="_Toc7200508"/>
      <w:r w:rsidRPr="00020F17">
        <w:t xml:space="preserve">Accountability </w:t>
      </w:r>
      <w:r>
        <w:t>&amp;</w:t>
      </w:r>
      <w:r w:rsidRPr="00020F17">
        <w:t xml:space="preserve"> transparency</w:t>
      </w:r>
      <w:bookmarkEnd w:id="60"/>
    </w:p>
    <w:p w14:paraId="194D6B84" w14:textId="3162DE58" w:rsidR="00020F17" w:rsidRPr="00020F17" w:rsidRDefault="00020F17" w:rsidP="00020F17">
      <w:r w:rsidRPr="00020F17">
        <w:t>Service providers in urban transport infrastructure and services shall ensure the best use of available resources and account for their utilization</w:t>
      </w:r>
      <w:r>
        <w:t xml:space="preserve">. </w:t>
      </w:r>
      <w:r w:rsidR="00856C25">
        <w:t xml:space="preserve">The </w:t>
      </w:r>
      <w:r w:rsidRPr="00020F17">
        <w:t>NMT Strategy seeks to promote participation of all stakeholders for effective</w:t>
      </w:r>
      <w:r>
        <w:t xml:space="preserve"> monitoring of</w:t>
      </w:r>
      <w:r w:rsidRPr="00020F17">
        <w:t xml:space="preserve"> service delivery</w:t>
      </w:r>
      <w:r>
        <w:t xml:space="preserve"> over time.</w:t>
      </w:r>
      <w:r w:rsidR="009B5160">
        <w:t xml:space="preserve"> The government will encourage open access to transport data, reports, and other resources related to the NMT Strategy.</w:t>
      </w:r>
    </w:p>
    <w:p w14:paraId="0DD88ECE" w14:textId="37223C80" w:rsidR="000E2568" w:rsidRPr="0029304B" w:rsidRDefault="000E2568" w:rsidP="008F00AB">
      <w:pPr>
        <w:pStyle w:val="Heading1"/>
      </w:pPr>
      <w:bookmarkStart w:id="61" w:name="_Toc7200509"/>
      <w:r w:rsidRPr="0029304B">
        <w:t xml:space="preserve">Vision and </w:t>
      </w:r>
      <w:r w:rsidR="00C84F8D" w:rsidRPr="0029304B">
        <w:t>goals</w:t>
      </w:r>
      <w:bookmarkEnd w:id="54"/>
      <w:bookmarkEnd w:id="55"/>
      <w:bookmarkEnd w:id="61"/>
    </w:p>
    <w:p w14:paraId="4D778B5C" w14:textId="3E2E05C7" w:rsidR="003D3750" w:rsidRDefault="00BD5BE4" w:rsidP="00BD5BE4">
      <w:r>
        <w:t>[</w:t>
      </w:r>
      <w:r w:rsidR="006E7C69">
        <w:t>AN ASPIRATIONAL DESCRIPTION OF WHAT THE CITY WOULD LIKE TO ACCOMPLISH IN A GIVEN PERIOD OF TIME]</w:t>
      </w:r>
    </w:p>
    <w:p w14:paraId="7E2A32AB" w14:textId="59A3CAE3" w:rsidR="000E2568" w:rsidRPr="0029304B" w:rsidRDefault="000E2568" w:rsidP="000E2568">
      <w:pPr>
        <w:pStyle w:val="Caption"/>
      </w:pPr>
      <w:r w:rsidRPr="0029304B">
        <w:t xml:space="preserve">Table </w:t>
      </w:r>
      <w:r w:rsidRPr="0029304B">
        <w:fldChar w:fldCharType="begin"/>
      </w:r>
      <w:r w:rsidRPr="0029304B">
        <w:instrText xml:space="preserve"> SEQ Table \* ARABIC </w:instrText>
      </w:r>
      <w:r w:rsidRPr="0029304B">
        <w:fldChar w:fldCharType="separate"/>
      </w:r>
      <w:r w:rsidR="00851657">
        <w:rPr>
          <w:noProof/>
        </w:rPr>
        <w:t>3</w:t>
      </w:r>
      <w:r w:rsidRPr="0029304B">
        <w:fldChar w:fldCharType="end"/>
      </w:r>
      <w:r w:rsidRPr="0029304B">
        <w:t>: Ten-year goals for an improved NMT environment</w:t>
      </w:r>
      <w:r w:rsidR="00BD5BE4">
        <w:t xml:space="preserve"> in [COUNTRY]</w:t>
      </w:r>
      <w:r w:rsidR="00EB1D7C" w:rsidRPr="0029304B">
        <w:t xml:space="preserve"> cities.</w:t>
      </w:r>
    </w:p>
    <w:tbl>
      <w:tblPr>
        <w:tblStyle w:val="ITDPtable"/>
        <w:tblW w:w="0" w:type="auto"/>
        <w:tblLook w:val="04A0" w:firstRow="1" w:lastRow="0" w:firstColumn="1" w:lastColumn="0" w:noHBand="0" w:noVBand="1"/>
      </w:tblPr>
      <w:tblGrid>
        <w:gridCol w:w="2340"/>
        <w:gridCol w:w="2700"/>
        <w:gridCol w:w="3607"/>
      </w:tblGrid>
      <w:tr w:rsidR="00857054" w:rsidRPr="0029304B" w14:paraId="6041E419" w14:textId="77777777" w:rsidTr="00C6375B">
        <w:trPr>
          <w:cnfStyle w:val="100000000000" w:firstRow="1" w:lastRow="0" w:firstColumn="0" w:lastColumn="0" w:oddVBand="0" w:evenVBand="0" w:oddHBand="0" w:evenHBand="0" w:firstRowFirstColumn="0" w:firstRowLastColumn="0" w:lastRowFirstColumn="0" w:lastRowLastColumn="0"/>
        </w:trPr>
        <w:tc>
          <w:tcPr>
            <w:tcW w:w="2340" w:type="dxa"/>
          </w:tcPr>
          <w:p w14:paraId="33E6B9B1" w14:textId="1B8A5377" w:rsidR="00BD5BE4" w:rsidRPr="0029304B" w:rsidRDefault="00BD5BE4" w:rsidP="00857054">
            <w:pPr>
              <w:pStyle w:val="Tabletext"/>
            </w:pPr>
          </w:p>
        </w:tc>
        <w:tc>
          <w:tcPr>
            <w:tcW w:w="2700" w:type="dxa"/>
          </w:tcPr>
          <w:p w14:paraId="356E809C" w14:textId="77777777" w:rsidR="00857054" w:rsidRPr="0029304B" w:rsidRDefault="00857054" w:rsidP="00857054">
            <w:pPr>
              <w:pStyle w:val="Tabletext"/>
            </w:pPr>
            <w:r w:rsidRPr="0029304B">
              <w:t>Contributing Actions</w:t>
            </w:r>
          </w:p>
        </w:tc>
        <w:tc>
          <w:tcPr>
            <w:tcW w:w="3607" w:type="dxa"/>
          </w:tcPr>
          <w:p w14:paraId="6B48BB2F" w14:textId="77777777" w:rsidR="00857054" w:rsidRPr="0029304B" w:rsidRDefault="009C4524" w:rsidP="00857054">
            <w:pPr>
              <w:pStyle w:val="Tabletext"/>
            </w:pPr>
            <w:r w:rsidRPr="0029304B">
              <w:t>10-year targets</w:t>
            </w:r>
          </w:p>
        </w:tc>
      </w:tr>
      <w:tr w:rsidR="00857054" w:rsidRPr="0029304B" w14:paraId="4F0A6D25" w14:textId="77777777" w:rsidTr="00C6375B">
        <w:trPr>
          <w:cnfStyle w:val="000000100000" w:firstRow="0" w:lastRow="0" w:firstColumn="0" w:lastColumn="0" w:oddVBand="0" w:evenVBand="0" w:oddHBand="1" w:evenHBand="0" w:firstRowFirstColumn="0" w:firstRowLastColumn="0" w:lastRowFirstColumn="0" w:lastRowLastColumn="0"/>
        </w:trPr>
        <w:tc>
          <w:tcPr>
            <w:tcW w:w="2340" w:type="dxa"/>
          </w:tcPr>
          <w:p w14:paraId="5AD86DD2" w14:textId="77777777" w:rsidR="00857054" w:rsidRPr="0029304B" w:rsidRDefault="00857054" w:rsidP="00857054">
            <w:pPr>
              <w:pStyle w:val="Tabletext"/>
            </w:pPr>
            <w:r w:rsidRPr="0029304B">
              <w:t xml:space="preserve">Increased mode share of walking, cycling, and public transport </w:t>
            </w:r>
          </w:p>
        </w:tc>
        <w:tc>
          <w:tcPr>
            <w:tcW w:w="2700" w:type="dxa"/>
          </w:tcPr>
          <w:p w14:paraId="3BF9E9DB" w14:textId="77777777" w:rsidR="00857054" w:rsidRPr="0029304B" w:rsidRDefault="00857054" w:rsidP="00857054">
            <w:pPr>
              <w:pStyle w:val="Tabletextbullet"/>
            </w:pPr>
            <w:r w:rsidRPr="0029304B">
              <w:t>Investments in high-quality walking and cycling facilities.</w:t>
            </w:r>
          </w:p>
          <w:p w14:paraId="7D8D44DB" w14:textId="77777777" w:rsidR="00857054" w:rsidRPr="0029304B" w:rsidRDefault="00857054" w:rsidP="00857054">
            <w:pPr>
              <w:pStyle w:val="Tabletextbullet"/>
            </w:pPr>
            <w:r w:rsidRPr="0029304B">
              <w:t>Improved last-mile connectivity to public transport.</w:t>
            </w:r>
          </w:p>
        </w:tc>
        <w:tc>
          <w:tcPr>
            <w:tcW w:w="3607" w:type="dxa"/>
          </w:tcPr>
          <w:p w14:paraId="2F977EA5" w14:textId="77777777" w:rsidR="00857054" w:rsidRPr="0029304B" w:rsidRDefault="00857054" w:rsidP="00857054">
            <w:pPr>
              <w:pStyle w:val="Tabletextbullet"/>
            </w:pPr>
            <w:r w:rsidRPr="0029304B">
              <w:t>Public transport and paratransit constitute 80% of all motorised trips</w:t>
            </w:r>
          </w:p>
          <w:p w14:paraId="61E247CC" w14:textId="77777777" w:rsidR="00857054" w:rsidRPr="0029304B" w:rsidRDefault="00857054" w:rsidP="00857054">
            <w:pPr>
              <w:pStyle w:val="Tabletextbullet"/>
            </w:pPr>
            <w:r w:rsidRPr="0029304B">
              <w:t>Modal share of NMT remains at or above 60% of trips.</w:t>
            </w:r>
          </w:p>
          <w:p w14:paraId="40E93E5E" w14:textId="77777777" w:rsidR="000D490E" w:rsidRPr="0029304B" w:rsidRDefault="000D490E" w:rsidP="00857054">
            <w:pPr>
              <w:pStyle w:val="Tabletextbullet"/>
            </w:pPr>
            <w:r w:rsidRPr="0029304B">
              <w:t>Women constitute 50% of cyclists.</w:t>
            </w:r>
          </w:p>
        </w:tc>
      </w:tr>
      <w:tr w:rsidR="00857054" w:rsidRPr="0029304B" w14:paraId="48842544" w14:textId="77777777" w:rsidTr="00C6375B">
        <w:trPr>
          <w:cnfStyle w:val="000000010000" w:firstRow="0" w:lastRow="0" w:firstColumn="0" w:lastColumn="0" w:oddVBand="0" w:evenVBand="0" w:oddHBand="0" w:evenHBand="1" w:firstRowFirstColumn="0" w:firstRowLastColumn="0" w:lastRowFirstColumn="0" w:lastRowLastColumn="0"/>
        </w:trPr>
        <w:tc>
          <w:tcPr>
            <w:tcW w:w="2340" w:type="dxa"/>
          </w:tcPr>
          <w:p w14:paraId="5E0A0BD7" w14:textId="77777777" w:rsidR="00857054" w:rsidRPr="0029304B" w:rsidRDefault="00857054" w:rsidP="00857054">
            <w:pPr>
              <w:pStyle w:val="Tabletext"/>
            </w:pPr>
            <w:r w:rsidRPr="0029304B">
              <w:t xml:space="preserve">Reduction in the use of personal motor vehicles (PMV) </w:t>
            </w:r>
          </w:p>
        </w:tc>
        <w:tc>
          <w:tcPr>
            <w:tcW w:w="2700" w:type="dxa"/>
          </w:tcPr>
          <w:p w14:paraId="42752A6C" w14:textId="77777777" w:rsidR="00857054" w:rsidRPr="0029304B" w:rsidRDefault="00857054" w:rsidP="00857054">
            <w:pPr>
              <w:pStyle w:val="Tabletextbullet"/>
            </w:pPr>
            <w:r w:rsidRPr="0029304B">
              <w:t>Measures to manage/control private-vehicle use.</w:t>
            </w:r>
          </w:p>
          <w:p w14:paraId="23E9399E" w14:textId="77777777" w:rsidR="00857054" w:rsidRPr="0029304B" w:rsidRDefault="00857054" w:rsidP="00857054">
            <w:pPr>
              <w:pStyle w:val="Tabletextbullet"/>
            </w:pPr>
            <w:r w:rsidRPr="0029304B">
              <w:t xml:space="preserve">Improved attractiveness of sustainable modes </w:t>
            </w:r>
          </w:p>
        </w:tc>
        <w:tc>
          <w:tcPr>
            <w:tcW w:w="3607" w:type="dxa"/>
          </w:tcPr>
          <w:p w14:paraId="455427B5" w14:textId="77777777" w:rsidR="00857054" w:rsidRPr="0029304B" w:rsidRDefault="00857054" w:rsidP="00857054">
            <w:pPr>
              <w:pStyle w:val="Tabletextbullet"/>
            </w:pPr>
            <w:r w:rsidRPr="0029304B">
              <w:t>Vehicle kilometres travelled (VKT) by PMVs are no more than 2018 levels.</w:t>
            </w:r>
          </w:p>
        </w:tc>
      </w:tr>
      <w:tr w:rsidR="00857054" w:rsidRPr="0029304B" w14:paraId="5996E930" w14:textId="77777777" w:rsidTr="00C6375B">
        <w:trPr>
          <w:cnfStyle w:val="000000100000" w:firstRow="0" w:lastRow="0" w:firstColumn="0" w:lastColumn="0" w:oddVBand="0" w:evenVBand="0" w:oddHBand="1" w:evenHBand="0" w:firstRowFirstColumn="0" w:firstRowLastColumn="0" w:lastRowFirstColumn="0" w:lastRowLastColumn="0"/>
        </w:trPr>
        <w:tc>
          <w:tcPr>
            <w:tcW w:w="2340" w:type="dxa"/>
          </w:tcPr>
          <w:p w14:paraId="10968BBB" w14:textId="6D6F66F7" w:rsidR="00857054" w:rsidRPr="0029304B" w:rsidRDefault="00857054" w:rsidP="00857054">
            <w:pPr>
              <w:pStyle w:val="Tabletext"/>
            </w:pPr>
            <w:r w:rsidRPr="0029304B">
              <w:t>Improved road safety</w:t>
            </w:r>
            <w:r w:rsidR="00A967BF">
              <w:t xml:space="preserve"> </w:t>
            </w:r>
          </w:p>
        </w:tc>
        <w:tc>
          <w:tcPr>
            <w:tcW w:w="2700" w:type="dxa"/>
          </w:tcPr>
          <w:p w14:paraId="7A7B393B" w14:textId="2D67B170" w:rsidR="00857054" w:rsidRPr="0029304B" w:rsidRDefault="00857054" w:rsidP="00857054">
            <w:pPr>
              <w:pStyle w:val="Tabletextbullet"/>
            </w:pPr>
            <w:r w:rsidRPr="0029304B">
              <w:t>Safe crossings, improved</w:t>
            </w:r>
            <w:r w:rsidR="00A967BF">
              <w:t xml:space="preserve"> </w:t>
            </w:r>
            <w:r w:rsidRPr="0029304B">
              <w:t>intersections, and dedicated facilities for NMT.</w:t>
            </w:r>
          </w:p>
        </w:tc>
        <w:tc>
          <w:tcPr>
            <w:tcW w:w="3607" w:type="dxa"/>
          </w:tcPr>
          <w:p w14:paraId="6566F768" w14:textId="77777777" w:rsidR="00857054" w:rsidRDefault="00857054" w:rsidP="00857054">
            <w:pPr>
              <w:pStyle w:val="Tabletextbullet"/>
            </w:pPr>
            <w:r w:rsidRPr="0029304B">
              <w:t>Fatalities of pedestrians and cyclists are reduced by 80 percent below 2018 levels.</w:t>
            </w:r>
          </w:p>
          <w:p w14:paraId="644F8464" w14:textId="0D6B3899" w:rsidR="00B01951" w:rsidRPr="0029304B" w:rsidRDefault="00B01951" w:rsidP="00B01951">
            <w:pPr>
              <w:pStyle w:val="Tabletextbullet"/>
              <w:numPr>
                <w:ilvl w:val="0"/>
                <w:numId w:val="0"/>
              </w:numPr>
              <w:ind w:left="199"/>
            </w:pPr>
          </w:p>
        </w:tc>
      </w:tr>
      <w:tr w:rsidR="00857054" w:rsidRPr="0029304B" w14:paraId="47B57664" w14:textId="77777777" w:rsidTr="00C6375B">
        <w:trPr>
          <w:cnfStyle w:val="000000010000" w:firstRow="0" w:lastRow="0" w:firstColumn="0" w:lastColumn="0" w:oddVBand="0" w:evenVBand="0" w:oddHBand="0" w:evenHBand="1" w:firstRowFirstColumn="0" w:firstRowLastColumn="0" w:lastRowFirstColumn="0" w:lastRowLastColumn="0"/>
        </w:trPr>
        <w:tc>
          <w:tcPr>
            <w:tcW w:w="2340" w:type="dxa"/>
          </w:tcPr>
          <w:p w14:paraId="0D7CAFC1" w14:textId="1BBA9A3B" w:rsidR="00857054" w:rsidRPr="0029304B" w:rsidRDefault="00857054" w:rsidP="00857054">
            <w:pPr>
              <w:pStyle w:val="Tabletext"/>
            </w:pPr>
            <w:r w:rsidRPr="0029304B">
              <w:t>Improved air quality</w:t>
            </w:r>
            <w:r w:rsidR="00A967BF">
              <w:t xml:space="preserve"> </w:t>
            </w:r>
          </w:p>
        </w:tc>
        <w:tc>
          <w:tcPr>
            <w:tcW w:w="2700" w:type="dxa"/>
          </w:tcPr>
          <w:p w14:paraId="036F4660" w14:textId="77777777" w:rsidR="00857054" w:rsidRPr="0029304B" w:rsidRDefault="00857054" w:rsidP="00857054">
            <w:pPr>
              <w:pStyle w:val="Tabletextbullet"/>
            </w:pPr>
            <w:r w:rsidRPr="0029304B">
              <w:t xml:space="preserve">Increased investments in high-quality walking and cycling facilities. </w:t>
            </w:r>
          </w:p>
          <w:p w14:paraId="5EEB7A62" w14:textId="77777777" w:rsidR="00857054" w:rsidRPr="0029304B" w:rsidRDefault="00857054" w:rsidP="00857054">
            <w:pPr>
              <w:pStyle w:val="Tabletextbullet"/>
            </w:pPr>
            <w:r w:rsidRPr="0029304B">
              <w:t>Measures to control private vehicle use in place.</w:t>
            </w:r>
          </w:p>
        </w:tc>
        <w:tc>
          <w:tcPr>
            <w:tcW w:w="3607" w:type="dxa"/>
          </w:tcPr>
          <w:p w14:paraId="0AC2F392" w14:textId="77777777" w:rsidR="00857054" w:rsidRPr="0029304B" w:rsidRDefault="00857054" w:rsidP="00857054">
            <w:pPr>
              <w:pStyle w:val="Tabletextbullet"/>
            </w:pPr>
            <w:r w:rsidRPr="0029304B">
              <w:t>WHO ambient air quality norms are met 350 days a year.</w:t>
            </w:r>
          </w:p>
          <w:p w14:paraId="26560AF5" w14:textId="77777777" w:rsidR="005516DB" w:rsidRDefault="00857054" w:rsidP="00857054">
            <w:pPr>
              <w:pStyle w:val="Tabletextbullet"/>
            </w:pPr>
            <w:r w:rsidRPr="0029304B">
              <w:t>Greenhouse gas emissions follow t</w:t>
            </w:r>
            <w:r w:rsidR="005516DB">
              <w:t>he overall targets set in [Country]</w:t>
            </w:r>
          </w:p>
          <w:p w14:paraId="7406E614" w14:textId="65F94196" w:rsidR="00857054" w:rsidRPr="0029304B" w:rsidRDefault="00857054" w:rsidP="00857054">
            <w:pPr>
              <w:pStyle w:val="Tabletextbullet"/>
            </w:pPr>
            <w:r w:rsidRPr="0029304B">
              <w:t xml:space="preserve"> Nationally Determined Contribution.</w:t>
            </w:r>
          </w:p>
        </w:tc>
      </w:tr>
    </w:tbl>
    <w:p w14:paraId="178BAE2D" w14:textId="4DEF2F52" w:rsidR="00B718A9" w:rsidRPr="0029304B" w:rsidRDefault="00B718A9" w:rsidP="000E2568">
      <w:bookmarkStart w:id="62" w:name="_Toc355188101"/>
      <w:bookmarkStart w:id="63" w:name="_Toc355188131"/>
    </w:p>
    <w:p w14:paraId="64A5B1A3" w14:textId="09FD577C" w:rsidR="00B718A9" w:rsidRPr="0029304B" w:rsidRDefault="00B718A9" w:rsidP="00B718A9">
      <w:r w:rsidRPr="0029304B">
        <w:t>To achieve the goals listed abov</w:t>
      </w:r>
      <w:r w:rsidR="00BD5BE4">
        <w:t>e, the [Country]</w:t>
      </w:r>
      <w:r w:rsidRPr="0029304B">
        <w:t xml:space="preserve"> will invest in walking, cycling, and public transport, and manage private vehicle use per the following implementation targets. The Government urges local authorities and other concerned agencies to take complementary actions to realise these targets.</w:t>
      </w:r>
    </w:p>
    <w:p w14:paraId="6C414837" w14:textId="7BAB403A" w:rsidR="00B718A9" w:rsidRPr="0029304B" w:rsidRDefault="00B718A9" w:rsidP="00B718A9">
      <w:pPr>
        <w:pStyle w:val="Caption"/>
      </w:pPr>
      <w:r w:rsidRPr="0029304B">
        <w:t xml:space="preserve">Table </w:t>
      </w:r>
      <w:r w:rsidRPr="0029304B">
        <w:fldChar w:fldCharType="begin"/>
      </w:r>
      <w:r w:rsidRPr="0029304B">
        <w:instrText xml:space="preserve"> SEQ Table \* ARABIC </w:instrText>
      </w:r>
      <w:r w:rsidRPr="0029304B">
        <w:fldChar w:fldCharType="separate"/>
      </w:r>
      <w:r w:rsidR="00851657">
        <w:rPr>
          <w:noProof/>
        </w:rPr>
        <w:t>4</w:t>
      </w:r>
      <w:r w:rsidRPr="0029304B">
        <w:fldChar w:fldCharType="end"/>
      </w:r>
      <w:r w:rsidRPr="0029304B">
        <w:t>: Implementation targets</w:t>
      </w:r>
      <w:r w:rsidR="00BD5BE4">
        <w:t xml:space="preserve"> for [Country] </w:t>
      </w:r>
      <w:r w:rsidR="00EB1D7C" w:rsidRPr="0029304B">
        <w:t>cities</w:t>
      </w:r>
      <w:r w:rsidRPr="0029304B">
        <w:t>.</w:t>
      </w:r>
    </w:p>
    <w:tbl>
      <w:tblPr>
        <w:tblStyle w:val="ITDPtable"/>
        <w:tblW w:w="5000" w:type="pct"/>
        <w:tblLayout w:type="fixed"/>
        <w:tblLook w:val="0420" w:firstRow="1" w:lastRow="0" w:firstColumn="0" w:lastColumn="0" w:noHBand="0" w:noVBand="1"/>
      </w:tblPr>
      <w:tblGrid>
        <w:gridCol w:w="1692"/>
        <w:gridCol w:w="3664"/>
        <w:gridCol w:w="3664"/>
      </w:tblGrid>
      <w:tr w:rsidR="00D5693B" w:rsidRPr="0029304B" w14:paraId="56DF99FA" w14:textId="77777777" w:rsidTr="00D5693B">
        <w:trPr>
          <w:cnfStyle w:val="100000000000" w:firstRow="1" w:lastRow="0" w:firstColumn="0" w:lastColumn="0" w:oddVBand="0" w:evenVBand="0" w:oddHBand="0" w:evenHBand="0" w:firstRowFirstColumn="0" w:firstRowLastColumn="0" w:lastRowFirstColumn="0" w:lastRowLastColumn="0"/>
        </w:trPr>
        <w:tc>
          <w:tcPr>
            <w:tcW w:w="1692" w:type="dxa"/>
          </w:tcPr>
          <w:p w14:paraId="1F7C6549" w14:textId="77777777" w:rsidR="00D5693B" w:rsidRPr="0029304B" w:rsidRDefault="00D5693B" w:rsidP="00A92D85">
            <w:pPr>
              <w:pStyle w:val="Tabletext"/>
            </w:pPr>
            <w:r w:rsidRPr="0029304B">
              <w:t>Initiative</w:t>
            </w:r>
          </w:p>
        </w:tc>
        <w:tc>
          <w:tcPr>
            <w:tcW w:w="3664" w:type="dxa"/>
          </w:tcPr>
          <w:p w14:paraId="02466C61" w14:textId="77777777" w:rsidR="00D5693B" w:rsidRPr="00F36CAA" w:rsidRDefault="00D5693B" w:rsidP="00A92D85">
            <w:pPr>
              <w:pStyle w:val="Tabletext"/>
            </w:pPr>
            <w:r w:rsidRPr="00F36CAA">
              <w:t>5-year target</w:t>
            </w:r>
          </w:p>
        </w:tc>
        <w:tc>
          <w:tcPr>
            <w:tcW w:w="3664" w:type="dxa"/>
          </w:tcPr>
          <w:p w14:paraId="62B863F5" w14:textId="77777777" w:rsidR="00D5693B" w:rsidRPr="0029304B" w:rsidRDefault="00D5693B" w:rsidP="00A92D85">
            <w:pPr>
              <w:pStyle w:val="Tabletext"/>
            </w:pPr>
            <w:r w:rsidRPr="0029304B">
              <w:t>10-year target</w:t>
            </w:r>
          </w:p>
        </w:tc>
      </w:tr>
      <w:tr w:rsidR="00F36CAA" w:rsidRPr="0029304B" w14:paraId="5C09E396" w14:textId="77777777" w:rsidTr="00D5693B">
        <w:trPr>
          <w:cnfStyle w:val="000000100000" w:firstRow="0" w:lastRow="0" w:firstColumn="0" w:lastColumn="0" w:oddVBand="0" w:evenVBand="0" w:oddHBand="1" w:evenHBand="0" w:firstRowFirstColumn="0" w:firstRowLastColumn="0" w:lastRowFirstColumn="0" w:lastRowLastColumn="0"/>
        </w:trPr>
        <w:tc>
          <w:tcPr>
            <w:tcW w:w="1692" w:type="dxa"/>
          </w:tcPr>
          <w:p w14:paraId="5B22F2D8" w14:textId="77777777" w:rsidR="00F36CAA" w:rsidRPr="0029304B" w:rsidRDefault="00F36CAA" w:rsidP="00F36CAA">
            <w:pPr>
              <w:pStyle w:val="Tabletext"/>
            </w:pPr>
            <w:r w:rsidRPr="0029304B">
              <w:t>Footpaths</w:t>
            </w:r>
          </w:p>
        </w:tc>
        <w:tc>
          <w:tcPr>
            <w:tcW w:w="3664" w:type="dxa"/>
          </w:tcPr>
          <w:p w14:paraId="66CB3F4E" w14:textId="23D2489C" w:rsidR="00F36CAA" w:rsidRPr="00F36CAA" w:rsidRDefault="00F36CAA" w:rsidP="00F36CAA">
            <w:pPr>
              <w:pStyle w:val="Tabletext"/>
            </w:pPr>
            <w:r>
              <w:t>5</w:t>
            </w:r>
            <w:r w:rsidRPr="0029304B">
              <w:t xml:space="preserve"> km per 100,000 population.</w:t>
            </w:r>
          </w:p>
        </w:tc>
        <w:tc>
          <w:tcPr>
            <w:tcW w:w="3664" w:type="dxa"/>
          </w:tcPr>
          <w:p w14:paraId="1E487053" w14:textId="77777777" w:rsidR="00F36CAA" w:rsidRPr="0029304B" w:rsidRDefault="00F36CAA" w:rsidP="00F36CAA">
            <w:pPr>
              <w:pStyle w:val="Tabletext"/>
            </w:pPr>
            <w:r w:rsidRPr="0029304B">
              <w:t>10 km per 100,000 population.</w:t>
            </w:r>
          </w:p>
        </w:tc>
      </w:tr>
      <w:tr w:rsidR="00F36CAA" w:rsidRPr="0029304B" w14:paraId="18F324BE" w14:textId="77777777" w:rsidTr="00D5693B">
        <w:trPr>
          <w:cnfStyle w:val="000000010000" w:firstRow="0" w:lastRow="0" w:firstColumn="0" w:lastColumn="0" w:oddVBand="0" w:evenVBand="0" w:oddHBand="0" w:evenHBand="1" w:firstRowFirstColumn="0" w:firstRowLastColumn="0" w:lastRowFirstColumn="0" w:lastRowLastColumn="0"/>
        </w:trPr>
        <w:tc>
          <w:tcPr>
            <w:tcW w:w="1692" w:type="dxa"/>
          </w:tcPr>
          <w:p w14:paraId="026CDD9E" w14:textId="77777777" w:rsidR="00F36CAA" w:rsidRPr="0029304B" w:rsidRDefault="00F36CAA" w:rsidP="00F36CAA">
            <w:pPr>
              <w:pStyle w:val="Tabletext"/>
            </w:pPr>
            <w:r w:rsidRPr="0029304B">
              <w:t>Cycle tracks</w:t>
            </w:r>
          </w:p>
        </w:tc>
        <w:tc>
          <w:tcPr>
            <w:tcW w:w="3664" w:type="dxa"/>
          </w:tcPr>
          <w:p w14:paraId="257EADFF" w14:textId="6CF7867A" w:rsidR="00F36CAA" w:rsidRPr="00F36CAA" w:rsidRDefault="00F36CAA" w:rsidP="00F36CAA">
            <w:pPr>
              <w:pStyle w:val="Tabletext"/>
            </w:pPr>
            <w:r>
              <w:t>2</w:t>
            </w:r>
            <w:r w:rsidRPr="0029304B">
              <w:t xml:space="preserve"> km per 100,000 population.</w:t>
            </w:r>
          </w:p>
        </w:tc>
        <w:tc>
          <w:tcPr>
            <w:tcW w:w="3664" w:type="dxa"/>
          </w:tcPr>
          <w:p w14:paraId="07E5E0F1" w14:textId="77777777" w:rsidR="00F36CAA" w:rsidRPr="0029304B" w:rsidRDefault="00F36CAA" w:rsidP="00F36CAA">
            <w:pPr>
              <w:pStyle w:val="Tabletext"/>
            </w:pPr>
            <w:r w:rsidRPr="0029304B">
              <w:t>5 km per 100,000 population.</w:t>
            </w:r>
          </w:p>
        </w:tc>
      </w:tr>
      <w:tr w:rsidR="00D5693B" w:rsidRPr="0029304B" w14:paraId="64EF2DE5" w14:textId="77777777" w:rsidTr="00D5693B">
        <w:trPr>
          <w:cnfStyle w:val="000000100000" w:firstRow="0" w:lastRow="0" w:firstColumn="0" w:lastColumn="0" w:oddVBand="0" w:evenVBand="0" w:oddHBand="1" w:evenHBand="0" w:firstRowFirstColumn="0" w:firstRowLastColumn="0" w:lastRowFirstColumn="0" w:lastRowLastColumn="0"/>
        </w:trPr>
        <w:tc>
          <w:tcPr>
            <w:tcW w:w="1692" w:type="dxa"/>
          </w:tcPr>
          <w:p w14:paraId="42D5406D" w14:textId="77777777" w:rsidR="00D5693B" w:rsidRPr="0029304B" w:rsidRDefault="00D5693B" w:rsidP="00A92D85">
            <w:pPr>
              <w:pStyle w:val="Tabletext"/>
            </w:pPr>
            <w:r w:rsidRPr="0029304B">
              <w:t xml:space="preserve">Traffic calming </w:t>
            </w:r>
          </w:p>
        </w:tc>
        <w:tc>
          <w:tcPr>
            <w:tcW w:w="3664" w:type="dxa"/>
          </w:tcPr>
          <w:p w14:paraId="0A15604E" w14:textId="42B2D551" w:rsidR="00D5693B" w:rsidRPr="00F36CAA" w:rsidRDefault="00F36CAA" w:rsidP="00A92D85">
            <w:pPr>
              <w:pStyle w:val="Tabletext"/>
            </w:pPr>
            <w:r w:rsidRPr="0029304B">
              <w:t xml:space="preserve">Traffic calming measures </w:t>
            </w:r>
            <w:r w:rsidR="002E0E35">
              <w:t xml:space="preserve">paved </w:t>
            </w:r>
            <w:r w:rsidRPr="0029304B">
              <w:t>streets ≤ 12 m wide</w:t>
            </w:r>
            <w:r w:rsidR="00C4411A">
              <w:t>: 10 km</w:t>
            </w:r>
            <w:r w:rsidR="00C4411A" w:rsidRPr="0029304B">
              <w:t xml:space="preserve"> </w:t>
            </w:r>
            <w:r w:rsidR="00C4411A">
              <w:t>per 100,000 population</w:t>
            </w:r>
          </w:p>
        </w:tc>
        <w:tc>
          <w:tcPr>
            <w:tcW w:w="3664" w:type="dxa"/>
          </w:tcPr>
          <w:p w14:paraId="711C477B" w14:textId="353AEC46" w:rsidR="00D5693B" w:rsidRPr="0029304B" w:rsidRDefault="00C4411A" w:rsidP="00A92D85">
            <w:pPr>
              <w:pStyle w:val="Tabletext"/>
            </w:pPr>
            <w:r w:rsidRPr="0029304B">
              <w:t xml:space="preserve">Traffic calming measures </w:t>
            </w:r>
            <w:r>
              <w:t xml:space="preserve">paved </w:t>
            </w:r>
            <w:r w:rsidRPr="0029304B">
              <w:t>streets ≤ 12 m wide</w:t>
            </w:r>
            <w:r>
              <w:t>: 20 km</w:t>
            </w:r>
            <w:r w:rsidRPr="0029304B">
              <w:t xml:space="preserve"> </w:t>
            </w:r>
            <w:r>
              <w:t>per 100,000 population</w:t>
            </w:r>
          </w:p>
        </w:tc>
      </w:tr>
      <w:tr w:rsidR="00D5693B" w:rsidRPr="0029304B" w14:paraId="1C929B30" w14:textId="77777777" w:rsidTr="00D5693B">
        <w:trPr>
          <w:cnfStyle w:val="000000010000" w:firstRow="0" w:lastRow="0" w:firstColumn="0" w:lastColumn="0" w:oddVBand="0" w:evenVBand="0" w:oddHBand="0" w:evenHBand="1" w:firstRowFirstColumn="0" w:firstRowLastColumn="0" w:lastRowFirstColumn="0" w:lastRowLastColumn="0"/>
        </w:trPr>
        <w:tc>
          <w:tcPr>
            <w:tcW w:w="1692" w:type="dxa"/>
          </w:tcPr>
          <w:p w14:paraId="46C09FE7" w14:textId="77777777" w:rsidR="00D5693B" w:rsidRPr="0029304B" w:rsidRDefault="00D5693B" w:rsidP="00A92D85">
            <w:pPr>
              <w:pStyle w:val="Tabletext"/>
            </w:pPr>
            <w:r w:rsidRPr="0029304B">
              <w:t xml:space="preserve">Universal access </w:t>
            </w:r>
          </w:p>
        </w:tc>
        <w:tc>
          <w:tcPr>
            <w:tcW w:w="3664" w:type="dxa"/>
          </w:tcPr>
          <w:p w14:paraId="66C34878" w14:textId="77777777" w:rsidR="00D5693B" w:rsidRPr="00F36CAA" w:rsidRDefault="00214037" w:rsidP="00A92D85">
            <w:pPr>
              <w:pStyle w:val="Tabletext"/>
            </w:pPr>
            <w:r w:rsidRPr="00F36CAA">
              <w:t xml:space="preserve">All new road project </w:t>
            </w:r>
            <w:proofErr w:type="gramStart"/>
            <w:r w:rsidRPr="00F36CAA">
              <w:t>incorporate</w:t>
            </w:r>
            <w:proofErr w:type="gramEnd"/>
            <w:r w:rsidRPr="00F36CAA">
              <w:t xml:space="preserve"> universal access provisions. </w:t>
            </w:r>
          </w:p>
        </w:tc>
        <w:tc>
          <w:tcPr>
            <w:tcW w:w="3664" w:type="dxa"/>
          </w:tcPr>
          <w:p w14:paraId="6CBFFE7B" w14:textId="77777777" w:rsidR="00D5693B" w:rsidRPr="0029304B" w:rsidRDefault="00D5693B" w:rsidP="00A92D85">
            <w:pPr>
              <w:pStyle w:val="Tabletext"/>
            </w:pPr>
            <w:r w:rsidRPr="0029304B">
              <w:t>All footpaths and road crossings accessible to persons with disabilities.</w:t>
            </w:r>
          </w:p>
        </w:tc>
      </w:tr>
      <w:tr w:rsidR="00363E4C" w:rsidRPr="0029304B" w14:paraId="57D9F5E1" w14:textId="77777777" w:rsidTr="00D5693B">
        <w:trPr>
          <w:cnfStyle w:val="000000100000" w:firstRow="0" w:lastRow="0" w:firstColumn="0" w:lastColumn="0" w:oddVBand="0" w:evenVBand="0" w:oddHBand="1" w:evenHBand="0" w:firstRowFirstColumn="0" w:firstRowLastColumn="0" w:lastRowFirstColumn="0" w:lastRowLastColumn="0"/>
        </w:trPr>
        <w:tc>
          <w:tcPr>
            <w:tcW w:w="1692" w:type="dxa"/>
          </w:tcPr>
          <w:p w14:paraId="3C218D11" w14:textId="2DA90F8E" w:rsidR="00363E4C" w:rsidRPr="0029304B" w:rsidRDefault="00363E4C" w:rsidP="00A92D85">
            <w:pPr>
              <w:pStyle w:val="Tabletext"/>
            </w:pPr>
            <w:r>
              <w:lastRenderedPageBreak/>
              <w:t>School zones</w:t>
            </w:r>
          </w:p>
        </w:tc>
        <w:tc>
          <w:tcPr>
            <w:tcW w:w="3664" w:type="dxa"/>
          </w:tcPr>
          <w:p w14:paraId="6E2D963F" w14:textId="416FDA5C" w:rsidR="00363E4C" w:rsidRDefault="00363E4C" w:rsidP="00A92D85">
            <w:pPr>
              <w:pStyle w:val="Tabletext"/>
            </w:pPr>
            <w:r>
              <w:t>Safe crossings and other facilities implemented at all schools located on arterial streets.</w:t>
            </w:r>
          </w:p>
        </w:tc>
        <w:tc>
          <w:tcPr>
            <w:tcW w:w="3664" w:type="dxa"/>
          </w:tcPr>
          <w:p w14:paraId="65E9DD41" w14:textId="27BAB99F" w:rsidR="00363E4C" w:rsidRPr="0029304B" w:rsidRDefault="00363E4C" w:rsidP="00A92D85">
            <w:pPr>
              <w:pStyle w:val="Tabletext"/>
            </w:pPr>
            <w:r>
              <w:t>Safe crossings and other facilities implemented at all schools.</w:t>
            </w:r>
          </w:p>
        </w:tc>
      </w:tr>
      <w:tr w:rsidR="00D5693B" w:rsidRPr="0029304B" w14:paraId="6F40C174" w14:textId="77777777" w:rsidTr="00D5693B">
        <w:trPr>
          <w:cnfStyle w:val="000000010000" w:firstRow="0" w:lastRow="0" w:firstColumn="0" w:lastColumn="0" w:oddVBand="0" w:evenVBand="0" w:oddHBand="0" w:evenHBand="1" w:firstRowFirstColumn="0" w:firstRowLastColumn="0" w:lastRowFirstColumn="0" w:lastRowLastColumn="0"/>
        </w:trPr>
        <w:tc>
          <w:tcPr>
            <w:tcW w:w="1692" w:type="dxa"/>
          </w:tcPr>
          <w:p w14:paraId="3F58467F" w14:textId="77777777" w:rsidR="00D5693B" w:rsidRPr="0029304B" w:rsidRDefault="00D5693B" w:rsidP="00A92D85">
            <w:pPr>
              <w:pStyle w:val="Tabletext"/>
            </w:pPr>
            <w:r w:rsidRPr="0029304B">
              <w:t>Bicycle sharing</w:t>
            </w:r>
          </w:p>
        </w:tc>
        <w:tc>
          <w:tcPr>
            <w:tcW w:w="3664" w:type="dxa"/>
          </w:tcPr>
          <w:p w14:paraId="3895499C" w14:textId="6C9B9F3E" w:rsidR="00D5693B" w:rsidRPr="00F36CAA" w:rsidRDefault="00F36CAA" w:rsidP="00A92D85">
            <w:pPr>
              <w:pStyle w:val="Tabletext"/>
            </w:pPr>
            <w:r>
              <w:t>Cities with population over 300,000 implement first-phase bicycle sharing systems with at least 200 cycles each</w:t>
            </w:r>
          </w:p>
        </w:tc>
        <w:tc>
          <w:tcPr>
            <w:tcW w:w="3664" w:type="dxa"/>
          </w:tcPr>
          <w:p w14:paraId="5235A67C" w14:textId="77777777" w:rsidR="00D5693B" w:rsidRPr="0029304B" w:rsidRDefault="00D5693B" w:rsidP="00A92D85">
            <w:pPr>
              <w:pStyle w:val="Tabletext"/>
            </w:pPr>
            <w:r w:rsidRPr="0029304B">
              <w:t>200 shared cycles per 100,000 population.</w:t>
            </w:r>
          </w:p>
        </w:tc>
      </w:tr>
      <w:tr w:rsidR="00D5693B" w:rsidRPr="0029304B" w14:paraId="58A7946C" w14:textId="77777777" w:rsidTr="00D5693B">
        <w:trPr>
          <w:cnfStyle w:val="000000100000" w:firstRow="0" w:lastRow="0" w:firstColumn="0" w:lastColumn="0" w:oddVBand="0" w:evenVBand="0" w:oddHBand="1" w:evenHBand="0" w:firstRowFirstColumn="0" w:firstRowLastColumn="0" w:lastRowFirstColumn="0" w:lastRowLastColumn="0"/>
        </w:trPr>
        <w:tc>
          <w:tcPr>
            <w:tcW w:w="1692" w:type="dxa"/>
          </w:tcPr>
          <w:p w14:paraId="224A7A40" w14:textId="77777777" w:rsidR="00D5693B" w:rsidRPr="0029304B" w:rsidRDefault="00D5693B" w:rsidP="00A92D85">
            <w:pPr>
              <w:pStyle w:val="Tabletext"/>
            </w:pPr>
            <w:r w:rsidRPr="0029304B">
              <w:t>Rapid transit</w:t>
            </w:r>
          </w:p>
        </w:tc>
        <w:tc>
          <w:tcPr>
            <w:tcW w:w="3664" w:type="dxa"/>
          </w:tcPr>
          <w:p w14:paraId="1E40AD83" w14:textId="7E2B6D35" w:rsidR="00D5693B" w:rsidRPr="00F36CAA" w:rsidRDefault="00214037" w:rsidP="00A92D85">
            <w:pPr>
              <w:pStyle w:val="Tabletext"/>
            </w:pPr>
            <w:r w:rsidRPr="00F36CAA">
              <w:t>First-phase corridor</w:t>
            </w:r>
            <w:r w:rsidR="00046C98">
              <w:t xml:space="preserve"> with high quality NMT facilities</w:t>
            </w:r>
            <w:r w:rsidRPr="00F36CAA">
              <w:t xml:space="preserve"> (at least 10 km) implemented in cities over 1 million</w:t>
            </w:r>
          </w:p>
        </w:tc>
        <w:tc>
          <w:tcPr>
            <w:tcW w:w="3664" w:type="dxa"/>
          </w:tcPr>
          <w:p w14:paraId="324D4046" w14:textId="77777777" w:rsidR="00D5693B" w:rsidRPr="0029304B" w:rsidRDefault="00D5693B" w:rsidP="00A92D85">
            <w:pPr>
              <w:pStyle w:val="Tabletext"/>
            </w:pPr>
            <w:r w:rsidRPr="0029304B">
              <w:t>3 km per 100,000 population, for cities with a population over 1 million</w:t>
            </w:r>
          </w:p>
        </w:tc>
      </w:tr>
      <w:tr w:rsidR="00D5693B" w:rsidRPr="0029304B" w14:paraId="76439902" w14:textId="77777777" w:rsidTr="00D5693B">
        <w:trPr>
          <w:cnfStyle w:val="000000010000" w:firstRow="0" w:lastRow="0" w:firstColumn="0" w:lastColumn="0" w:oddVBand="0" w:evenVBand="0" w:oddHBand="0" w:evenHBand="1" w:firstRowFirstColumn="0" w:firstRowLastColumn="0" w:lastRowFirstColumn="0" w:lastRowLastColumn="0"/>
        </w:trPr>
        <w:tc>
          <w:tcPr>
            <w:tcW w:w="1692" w:type="dxa"/>
          </w:tcPr>
          <w:p w14:paraId="2FF5C8A7" w14:textId="77777777" w:rsidR="00D5693B" w:rsidRPr="0029304B" w:rsidRDefault="00D5693B" w:rsidP="00A92D85">
            <w:pPr>
              <w:pStyle w:val="Tabletext"/>
            </w:pPr>
            <w:r w:rsidRPr="0029304B">
              <w:t>Parking management</w:t>
            </w:r>
          </w:p>
        </w:tc>
        <w:tc>
          <w:tcPr>
            <w:tcW w:w="3664" w:type="dxa"/>
          </w:tcPr>
          <w:p w14:paraId="031F8B35" w14:textId="44C5B783" w:rsidR="00D5693B" w:rsidRPr="00F36CAA" w:rsidRDefault="00F36CAA" w:rsidP="00A92D85">
            <w:pPr>
              <w:pStyle w:val="Tabletext"/>
            </w:pPr>
            <w:r>
              <w:t>100</w:t>
            </w:r>
            <w:r w:rsidRPr="0029304B">
              <w:t xml:space="preserve"> spaces per 100,000 population managed through and IT-based parking management system.</w:t>
            </w:r>
          </w:p>
        </w:tc>
        <w:tc>
          <w:tcPr>
            <w:tcW w:w="3664" w:type="dxa"/>
          </w:tcPr>
          <w:p w14:paraId="6C2C303E" w14:textId="77777777" w:rsidR="00D5693B" w:rsidRPr="0029304B" w:rsidRDefault="00D5693B" w:rsidP="00A92D85">
            <w:pPr>
              <w:pStyle w:val="Tabletext"/>
            </w:pPr>
            <w:r w:rsidRPr="0029304B">
              <w:t>400 spaces per 100,000 population managed through and IT-based parking management system.</w:t>
            </w:r>
          </w:p>
        </w:tc>
      </w:tr>
      <w:tr w:rsidR="00D5693B" w:rsidRPr="0029304B" w14:paraId="6E0965C9" w14:textId="77777777" w:rsidTr="00D5693B">
        <w:trPr>
          <w:cnfStyle w:val="000000100000" w:firstRow="0" w:lastRow="0" w:firstColumn="0" w:lastColumn="0" w:oddVBand="0" w:evenVBand="0" w:oddHBand="1" w:evenHBand="0" w:firstRowFirstColumn="0" w:firstRowLastColumn="0" w:lastRowFirstColumn="0" w:lastRowLastColumn="0"/>
        </w:trPr>
        <w:tc>
          <w:tcPr>
            <w:tcW w:w="1692" w:type="dxa"/>
          </w:tcPr>
          <w:p w14:paraId="1A51D472" w14:textId="77777777" w:rsidR="00D5693B" w:rsidRPr="0029304B" w:rsidRDefault="00D5693B" w:rsidP="00A92D85">
            <w:pPr>
              <w:pStyle w:val="Tabletext"/>
            </w:pPr>
            <w:r w:rsidRPr="0029304B">
              <w:t>Land use</w:t>
            </w:r>
          </w:p>
        </w:tc>
        <w:tc>
          <w:tcPr>
            <w:tcW w:w="3664" w:type="dxa"/>
          </w:tcPr>
          <w:p w14:paraId="504FD07C" w14:textId="77777777" w:rsidR="00214037" w:rsidRPr="00F36CAA" w:rsidRDefault="00214037" w:rsidP="00214037">
            <w:pPr>
              <w:pStyle w:val="Tabletext"/>
            </w:pPr>
            <w:r w:rsidRPr="00F36CAA">
              <w:t>All rapid transit corridors identified as transit-oriented development corridors.</w:t>
            </w:r>
          </w:p>
          <w:p w14:paraId="20FE124B" w14:textId="77777777" w:rsidR="00D5693B" w:rsidRPr="00F36CAA" w:rsidRDefault="00214037" w:rsidP="00214037">
            <w:pPr>
              <w:pStyle w:val="Tabletext"/>
            </w:pPr>
            <w:r w:rsidRPr="00F36CAA">
              <w:t>The largest dimension of blocks in all new developments to be 150 m or less.</w:t>
            </w:r>
          </w:p>
        </w:tc>
        <w:tc>
          <w:tcPr>
            <w:tcW w:w="3664" w:type="dxa"/>
          </w:tcPr>
          <w:p w14:paraId="4E109AA4" w14:textId="77777777" w:rsidR="00D5693B" w:rsidRPr="0029304B" w:rsidRDefault="00214037" w:rsidP="00A92D85">
            <w:pPr>
              <w:pStyle w:val="Tabletext"/>
            </w:pPr>
            <w:r w:rsidRPr="0029304B">
              <w:t>-</w:t>
            </w:r>
          </w:p>
        </w:tc>
      </w:tr>
      <w:tr w:rsidR="00D5693B" w:rsidRPr="0029304B" w14:paraId="07F00E2F" w14:textId="77777777" w:rsidTr="00D5693B">
        <w:trPr>
          <w:cnfStyle w:val="000000010000" w:firstRow="0" w:lastRow="0" w:firstColumn="0" w:lastColumn="0" w:oddVBand="0" w:evenVBand="0" w:oddHBand="0" w:evenHBand="1" w:firstRowFirstColumn="0" w:firstRowLastColumn="0" w:lastRowFirstColumn="0" w:lastRowLastColumn="0"/>
          <w:trHeight w:val="187"/>
        </w:trPr>
        <w:tc>
          <w:tcPr>
            <w:tcW w:w="1692" w:type="dxa"/>
          </w:tcPr>
          <w:p w14:paraId="7992B28C" w14:textId="77777777" w:rsidR="00D5693B" w:rsidRPr="0029304B" w:rsidRDefault="00D5693B" w:rsidP="00A92D85">
            <w:pPr>
              <w:pStyle w:val="Tabletext"/>
            </w:pPr>
            <w:r w:rsidRPr="0029304B">
              <w:t>Outreach &amp; communications</w:t>
            </w:r>
          </w:p>
        </w:tc>
        <w:tc>
          <w:tcPr>
            <w:tcW w:w="3664" w:type="dxa"/>
          </w:tcPr>
          <w:p w14:paraId="0BD89FAC" w14:textId="77777777" w:rsidR="00D5693B" w:rsidRPr="00F36CAA" w:rsidRDefault="008E10FC" w:rsidP="00A92D85">
            <w:pPr>
              <w:pStyle w:val="Tabletext"/>
            </w:pPr>
            <w:r w:rsidRPr="00F36CAA">
              <w:t>Spend 1% of the city’s transport budget on campaigns to create awareness among citizens and policy makers.</w:t>
            </w:r>
          </w:p>
        </w:tc>
        <w:tc>
          <w:tcPr>
            <w:tcW w:w="3664" w:type="dxa"/>
          </w:tcPr>
          <w:p w14:paraId="107231E0" w14:textId="77777777" w:rsidR="00D5693B" w:rsidRPr="0029304B" w:rsidRDefault="00D5693B" w:rsidP="00A92D85">
            <w:pPr>
              <w:pStyle w:val="Tabletext"/>
            </w:pPr>
            <w:r w:rsidRPr="0029304B">
              <w:t>Spend 1% of the city’s transport budget on campaigns to create awareness among citizens and policy makers until at least 75% of the goals are achieved.</w:t>
            </w:r>
          </w:p>
        </w:tc>
      </w:tr>
      <w:tr w:rsidR="00E23FCA" w:rsidRPr="0029304B" w14:paraId="200C580D" w14:textId="77777777" w:rsidTr="00D5693B">
        <w:trPr>
          <w:cnfStyle w:val="000000100000" w:firstRow="0" w:lastRow="0" w:firstColumn="0" w:lastColumn="0" w:oddVBand="0" w:evenVBand="0" w:oddHBand="1" w:evenHBand="0" w:firstRowFirstColumn="0" w:firstRowLastColumn="0" w:lastRowFirstColumn="0" w:lastRowLastColumn="0"/>
          <w:trHeight w:val="187"/>
        </w:trPr>
        <w:tc>
          <w:tcPr>
            <w:tcW w:w="1692" w:type="dxa"/>
          </w:tcPr>
          <w:p w14:paraId="1A0C9D3A" w14:textId="2D50B535" w:rsidR="00E23FCA" w:rsidRPr="0029304B" w:rsidRDefault="00E23FCA" w:rsidP="00A92D85">
            <w:pPr>
              <w:pStyle w:val="Tabletext"/>
            </w:pPr>
            <w:r>
              <w:t>Trade policies</w:t>
            </w:r>
          </w:p>
        </w:tc>
        <w:tc>
          <w:tcPr>
            <w:tcW w:w="3664" w:type="dxa"/>
          </w:tcPr>
          <w:p w14:paraId="70F879C2" w14:textId="2DA5501B" w:rsidR="00E23FCA" w:rsidRPr="00F36CAA" w:rsidRDefault="00E23FCA" w:rsidP="00A92D85">
            <w:pPr>
              <w:pStyle w:val="Tabletext"/>
            </w:pPr>
            <w:r>
              <w:t>Tariffs on bicycles and bicycle parts eliminated.</w:t>
            </w:r>
          </w:p>
        </w:tc>
        <w:tc>
          <w:tcPr>
            <w:tcW w:w="3664" w:type="dxa"/>
          </w:tcPr>
          <w:p w14:paraId="0763F074" w14:textId="466ADA44" w:rsidR="00E23FCA" w:rsidRPr="0029304B" w:rsidRDefault="00E23FCA" w:rsidP="00A92D85">
            <w:pPr>
              <w:pStyle w:val="Tabletext"/>
            </w:pPr>
            <w:r>
              <w:t>-</w:t>
            </w:r>
          </w:p>
        </w:tc>
      </w:tr>
    </w:tbl>
    <w:p w14:paraId="1F5CD035" w14:textId="3CD262E4" w:rsidR="00B718A9" w:rsidRPr="0029304B" w:rsidRDefault="00201A77" w:rsidP="000E2568">
      <w:pPr>
        <w:pStyle w:val="Heading1"/>
        <w:numPr>
          <w:ilvl w:val="0"/>
          <w:numId w:val="1"/>
        </w:numPr>
      </w:pPr>
      <w:bookmarkStart w:id="64" w:name="_Toc513831960"/>
      <w:bookmarkStart w:id="65" w:name="_Toc524809094"/>
      <w:bookmarkStart w:id="66" w:name="_Toc526259614"/>
      <w:bookmarkStart w:id="67" w:name="_Toc7200510"/>
      <w:r w:rsidRPr="0029304B">
        <w:t>NMT initiatives</w:t>
      </w:r>
      <w:bookmarkEnd w:id="64"/>
      <w:bookmarkEnd w:id="65"/>
      <w:bookmarkEnd w:id="66"/>
      <w:bookmarkEnd w:id="67"/>
    </w:p>
    <w:p w14:paraId="58E28AEC" w14:textId="77777777" w:rsidR="000E2568" w:rsidRPr="0029304B" w:rsidRDefault="000E2568" w:rsidP="000E2568">
      <w:pPr>
        <w:pStyle w:val="Heading2"/>
        <w:numPr>
          <w:ilvl w:val="1"/>
          <w:numId w:val="1"/>
        </w:numPr>
        <w:rPr>
          <w:lang w:val="en-GB"/>
        </w:rPr>
      </w:pPr>
      <w:bookmarkStart w:id="68" w:name="_Toc513831961"/>
      <w:bookmarkStart w:id="69" w:name="_Toc526259615"/>
      <w:bookmarkStart w:id="70" w:name="_Toc7200511"/>
      <w:r w:rsidRPr="0029304B">
        <w:rPr>
          <w:lang w:val="en-GB"/>
        </w:rPr>
        <w:t>Pedestrian network</w:t>
      </w:r>
      <w:bookmarkEnd w:id="68"/>
      <w:bookmarkEnd w:id="69"/>
      <w:bookmarkEnd w:id="70"/>
    </w:p>
    <w:p w14:paraId="05F85E99" w14:textId="55042C49" w:rsidR="000E2568" w:rsidRPr="0029304B" w:rsidRDefault="000E2568" w:rsidP="00885FC4">
      <w:r w:rsidRPr="0029304B">
        <w:t xml:space="preserve">Major streets in all </w:t>
      </w:r>
      <w:r w:rsidR="000565E2" w:rsidRPr="0029304B">
        <w:t>cities and towns</w:t>
      </w:r>
      <w:r w:rsidR="00C14519">
        <w:t xml:space="preserve"> in [COUNTRY</w:t>
      </w:r>
      <w:r w:rsidR="00BD5BE4">
        <w:t>]</w:t>
      </w:r>
      <w:r w:rsidRPr="0029304B">
        <w:t xml:space="preserve"> </w:t>
      </w:r>
      <w:r w:rsidR="000565E2" w:rsidRPr="0029304B">
        <w:t>need</w:t>
      </w:r>
      <w:r w:rsidRPr="0029304B">
        <w:t xml:space="preserve"> high-quality footpaths. Well-designed footpaths provide continuous space for walking. They also support other activities such as street vending and comfortable waiting space at bus stops without compromising pedestrian mobility. The success of a footpath depends on the integration of multiple elements in a coherent design. Footpaths need to be unobstructed, continuous, shaded, and well lit. Footpaths should consist of three zones</w:t>
      </w:r>
      <w:r w:rsidR="00C14519">
        <w:t>.</w:t>
      </w:r>
    </w:p>
    <w:p w14:paraId="2451C569" w14:textId="77777777" w:rsidR="000E2568" w:rsidRPr="0029304B" w:rsidRDefault="000E2568" w:rsidP="006B41F2">
      <w:pPr>
        <w:pStyle w:val="ListParagraph"/>
        <w:numPr>
          <w:ilvl w:val="0"/>
          <w:numId w:val="10"/>
        </w:numPr>
      </w:pPr>
      <w:r w:rsidRPr="0029304B">
        <w:t xml:space="preserve">The </w:t>
      </w:r>
      <w:r w:rsidRPr="0029304B">
        <w:rPr>
          <w:b/>
        </w:rPr>
        <w:t>frontage zone</w:t>
      </w:r>
      <w:r w:rsidRPr="0029304B">
        <w:t xml:space="preserve"> provides a buffer between street-side activities and the pedestrian zone and should be 0.5 to 1 m wide.</w:t>
      </w:r>
    </w:p>
    <w:p w14:paraId="700F1EF7" w14:textId="77777777" w:rsidR="000E2568" w:rsidRPr="0029304B" w:rsidRDefault="000E2568" w:rsidP="006B41F2">
      <w:pPr>
        <w:pStyle w:val="ListParagraph"/>
        <w:numPr>
          <w:ilvl w:val="0"/>
          <w:numId w:val="10"/>
        </w:numPr>
      </w:pPr>
      <w:r w:rsidRPr="0029304B">
        <w:t xml:space="preserve">The </w:t>
      </w:r>
      <w:r w:rsidRPr="0029304B">
        <w:rPr>
          <w:rStyle w:val="Strong"/>
        </w:rPr>
        <w:t>pedestrian zone</w:t>
      </w:r>
      <w:r w:rsidRPr="0029304B">
        <w:t xml:space="preserve"> offers continuous space for walking. The pedestrian zone should be clear of any obstructions, level differences, or other obstacles to pedestrian movement and should have a clear width of at least 2 m.</w:t>
      </w:r>
    </w:p>
    <w:p w14:paraId="0F23D10F" w14:textId="77777777" w:rsidR="000E2568" w:rsidRPr="0029304B" w:rsidRDefault="000E2568" w:rsidP="006B41F2">
      <w:pPr>
        <w:pStyle w:val="ListParagraph"/>
        <w:numPr>
          <w:ilvl w:val="0"/>
          <w:numId w:val="10"/>
        </w:numPr>
      </w:pPr>
      <w:r w:rsidRPr="0029304B">
        <w:t xml:space="preserve">The </w:t>
      </w:r>
      <w:r w:rsidRPr="0029304B">
        <w:rPr>
          <w:rStyle w:val="Strong"/>
        </w:rPr>
        <w:t>furniture zone</w:t>
      </w:r>
      <w:r w:rsidRPr="0029304B">
        <w:t xml:space="preserve"> provides space for landscaping, furniture, lights, bus stops, signs, and private property access ramps.</w:t>
      </w:r>
    </w:p>
    <w:p w14:paraId="6C17F281" w14:textId="77777777" w:rsidR="000E2568" w:rsidRPr="0029304B" w:rsidRDefault="000E2568" w:rsidP="000E2568">
      <w:r w:rsidRPr="0029304B">
        <w:t xml:space="preserve">In addition, footpaths should be no higher than 150 mm above the carriageway level and should have a smooth surface. Footpaths should be designed without abrupt level differences, especially at property entrances and intersections. For persons with visual impairments, tactile paving can be installed to indicate locations where vehicles and pedestrians interact. Implementation phasing will prioritise streets with large volumes of pedestrians. In addition, wide footpaths </w:t>
      </w:r>
      <w:r w:rsidR="004B5109" w:rsidRPr="0029304B">
        <w:t>should</w:t>
      </w:r>
      <w:r w:rsidRPr="0029304B">
        <w:t xml:space="preserve"> be developed on all planned BRT corridors.</w:t>
      </w:r>
    </w:p>
    <w:p w14:paraId="6FEE2AA8" w14:textId="77777777" w:rsidR="0078707D" w:rsidRPr="0029304B" w:rsidRDefault="0078707D" w:rsidP="0078707D">
      <w:r w:rsidRPr="0029304B">
        <w:t xml:space="preserve">Crossings and junctions are also essential components of a well-connected street network. When properly designed, crossings and junctions allow pedestrians, cyclists, and other NMT users to cross busy streets safely and conveniently. At points where pedestrians need to cross multiple lanes of </w:t>
      </w:r>
      <w:r w:rsidRPr="0029304B">
        <w:lastRenderedPageBreak/>
        <w:t>traffic, it is important to reduce vehicle speeds to safe levels (e.g., below 15 km/h) or incorporate signals to stop traffic. Refuge islands should be provided whenever pedestrians need to cross more than two traffic lanes at a time. Crossings also require proper signage and road markings.</w:t>
      </w:r>
    </w:p>
    <w:p w14:paraId="2912BCA6" w14:textId="77777777" w:rsidR="00FE0A18" w:rsidRDefault="000E2568" w:rsidP="001624F8">
      <w:r w:rsidRPr="0029304B">
        <w:t xml:space="preserve">Many cities have sought to increase vehicle speeds by providing grade-separated crossings. These facilities are often inaccessible to many people, including those with a disability, and increase pedestrian travel distances and times. While grade separation may be warranted along stretches with a highway typology, at-grade crossings are more appropriate when a highway interacts with urban environment with heavy pedestrian activity and other roadside activities. At crossing points where multiple vehicle users interact, it is important to reduce vehicle speeds to safe </w:t>
      </w:r>
      <w:r w:rsidR="00C14519">
        <w:t>levels.</w:t>
      </w:r>
    </w:p>
    <w:p w14:paraId="1B2A3DC9" w14:textId="4EDC05B2" w:rsidR="00CC0346" w:rsidRPr="001624F8" w:rsidRDefault="00CC0346" w:rsidP="001624F8">
      <w:r w:rsidRPr="0029304B">
        <w:t xml:space="preserve">The provision of shade protects pedestrian from exposure to the sun and makes walking a more enjoyable experience. Shade can be provided with trees, awnings, or arcades built into the building line to maintain cooler temperatures for </w:t>
      </w:r>
      <w:r w:rsidR="00C14519" w:rsidRPr="0029304B">
        <w:t>walkin</w:t>
      </w:r>
      <w:r w:rsidR="00C14519">
        <w:t>g.</w:t>
      </w:r>
      <w:r w:rsidR="00C14519" w:rsidRPr="0029304B">
        <w:t xml:space="preserve"> The</w:t>
      </w:r>
      <w:r w:rsidRPr="0029304B">
        <w:t xml:space="preserve"> existing trees should be preserved during road expansion projects. Further, all road infrastructure projects should incorporate provisions for new street trees and landscaping throughout the corridor.</w:t>
      </w:r>
    </w:p>
    <w:tbl>
      <w:tblPr>
        <w:tblW w:w="0" w:type="auto"/>
        <w:shd w:val="clear" w:color="auto" w:fill="FCE7BE" w:themeFill="accent2" w:themeFillTint="66"/>
        <w:tblCellMar>
          <w:top w:w="113" w:type="dxa"/>
          <w:bottom w:w="113" w:type="dxa"/>
        </w:tblCellMar>
        <w:tblLook w:val="04A0" w:firstRow="1" w:lastRow="0" w:firstColumn="1" w:lastColumn="0" w:noHBand="0" w:noVBand="1"/>
      </w:tblPr>
      <w:tblGrid>
        <w:gridCol w:w="9020"/>
      </w:tblGrid>
      <w:tr w:rsidR="000E2568" w:rsidRPr="0029304B" w14:paraId="2EADB8A7" w14:textId="77777777" w:rsidTr="00857054">
        <w:tc>
          <w:tcPr>
            <w:tcW w:w="9020" w:type="dxa"/>
            <w:shd w:val="clear" w:color="auto" w:fill="FCE7BE" w:themeFill="accent2" w:themeFillTint="66"/>
          </w:tcPr>
          <w:p w14:paraId="5EADE14C" w14:textId="782454AF" w:rsidR="000E2568" w:rsidRPr="0029304B" w:rsidRDefault="00CD0D54" w:rsidP="005064D5">
            <w:pPr>
              <w:pStyle w:val="Boxheader"/>
            </w:pPr>
            <w:r w:rsidRPr="0029304B">
              <w:t>Key actions</w:t>
            </w:r>
          </w:p>
          <w:p w14:paraId="4FA91845" w14:textId="4B921B8B" w:rsidR="005064D5" w:rsidRDefault="00CD0D54" w:rsidP="006B41F2">
            <w:pPr>
              <w:pStyle w:val="ListParagraph"/>
              <w:numPr>
                <w:ilvl w:val="0"/>
                <w:numId w:val="11"/>
              </w:numPr>
            </w:pPr>
            <w:r w:rsidRPr="0029304B">
              <w:t xml:space="preserve">Construct </w:t>
            </w:r>
            <w:r w:rsidR="005064D5" w:rsidRPr="0029304B">
              <w:t xml:space="preserve">a continuous pedestrian realm with high-quality footpaths, safe at-grade crossings, </w:t>
            </w:r>
            <w:r w:rsidR="00CC0346" w:rsidRPr="0029304B">
              <w:t xml:space="preserve">street trees, and </w:t>
            </w:r>
            <w:r w:rsidR="005064D5" w:rsidRPr="0029304B">
              <w:t>adequate street lighting</w:t>
            </w:r>
            <w:r w:rsidRPr="0029304B">
              <w:t xml:space="preserve"> along new and existing streets</w:t>
            </w:r>
            <w:r w:rsidR="005064D5" w:rsidRPr="0029304B">
              <w:t>.</w:t>
            </w:r>
          </w:p>
          <w:p w14:paraId="2514EBFB" w14:textId="103A5A00" w:rsidR="0028689C" w:rsidRPr="0029304B" w:rsidRDefault="0028689C" w:rsidP="006B41F2">
            <w:pPr>
              <w:pStyle w:val="ListParagraph"/>
              <w:numPr>
                <w:ilvl w:val="0"/>
                <w:numId w:val="11"/>
              </w:numPr>
            </w:pPr>
            <w:r w:rsidRPr="0029304B">
              <w:t>Develop pedestrian zones on streets with high pedestrian volumes. Such streets will be closed to motorised traffic</w:t>
            </w:r>
            <w:r w:rsidR="00866F59" w:rsidRPr="0029304B">
              <w:t xml:space="preserve"> and can incorporate organised street vending.</w:t>
            </w:r>
          </w:p>
        </w:tc>
      </w:tr>
    </w:tbl>
    <w:p w14:paraId="5991A88C" w14:textId="77777777" w:rsidR="000E2568" w:rsidRPr="0029304B" w:rsidRDefault="000E2568" w:rsidP="000E2568"/>
    <w:p w14:paraId="43FBE072" w14:textId="77777777" w:rsidR="000E2568" w:rsidRPr="0029304B" w:rsidRDefault="000E2568" w:rsidP="000E2568">
      <w:pPr>
        <w:pStyle w:val="Heading2"/>
        <w:numPr>
          <w:ilvl w:val="1"/>
          <w:numId w:val="1"/>
        </w:numPr>
        <w:rPr>
          <w:lang w:val="en-GB"/>
        </w:rPr>
      </w:pPr>
      <w:bookmarkStart w:id="71" w:name="_Toc513831963"/>
      <w:bookmarkStart w:id="72" w:name="_Toc526259617"/>
      <w:bookmarkStart w:id="73" w:name="_Toc7200512"/>
      <w:r w:rsidRPr="0029304B">
        <w:rPr>
          <w:lang w:val="en-GB"/>
        </w:rPr>
        <w:t>Bicycle network</w:t>
      </w:r>
      <w:bookmarkEnd w:id="71"/>
      <w:bookmarkEnd w:id="72"/>
      <w:bookmarkEnd w:id="73"/>
    </w:p>
    <w:p w14:paraId="30DE4A3C" w14:textId="0BFB2E74" w:rsidR="00A50880" w:rsidRPr="0029304B" w:rsidRDefault="000E2568" w:rsidP="000E2568">
      <w:r w:rsidRPr="0029304B">
        <w:t>To enhance safety of cyclists</w:t>
      </w:r>
      <w:r w:rsidR="00A50880" w:rsidRPr="0029304B">
        <w:t xml:space="preserve"> and attract new users</w:t>
      </w:r>
      <w:r w:rsidRPr="0029304B">
        <w:t>,</w:t>
      </w:r>
      <w:r w:rsidR="008A3481" w:rsidRPr="008A3481">
        <w:t xml:space="preserve"> [COUNTRY]</w:t>
      </w:r>
      <w:r w:rsidRPr="0029304B">
        <w:t xml:space="preserve"> cities and towns should plan for networks of dedicated cycle tracks with safe and user-friendly and convenient infrastructure. Such a network should include cycle tracks along key urban corridors and major streets</w:t>
      </w:r>
      <w:r w:rsidR="00A50880" w:rsidRPr="0029304B">
        <w:t xml:space="preserve"> </w:t>
      </w:r>
      <w:r w:rsidRPr="0029304B">
        <w:t xml:space="preserve">with two or more lanes of traffic in each direction. </w:t>
      </w:r>
    </w:p>
    <w:p w14:paraId="5AD2AAF3" w14:textId="77777777" w:rsidR="00CD0D54" w:rsidRPr="0029304B" w:rsidRDefault="00A50880" w:rsidP="00CD0D54">
      <w:r w:rsidRPr="0029304B">
        <w:t>Cycle tracks require physical separation from the carriageway—painted lanes and “</w:t>
      </w:r>
      <w:proofErr w:type="spellStart"/>
      <w:r w:rsidRPr="0029304B">
        <w:t>sharrows</w:t>
      </w:r>
      <w:proofErr w:type="spellEnd"/>
      <w:r w:rsidRPr="0029304B">
        <w:t>” are not sufficient to provide a safe cycling environment. Cycle tracks track should have sufficient clear width for cycle movement (i.e., at least 2 m), a smooth surface material (concrete or asphalt, but not paver blocks), shade from trees, an elevation above the carriageway, smooth transitions where level differences are present, and a buffer between the track and carriageway. Wider cycle tracks are needed to accommodate two-way movement. Cycle tracks should incorporate proper signage and road markings.</w:t>
      </w:r>
    </w:p>
    <w:p w14:paraId="5B077AE3" w14:textId="69D34BE3" w:rsidR="000E2568" w:rsidRPr="0029304B" w:rsidRDefault="00CD0D54" w:rsidP="000E2568">
      <w:r w:rsidRPr="0029304B">
        <w:t>On smaller streets, separate cycle tracks may not be needed. Instead, traffic calming in the form of speed bumps, chicanes, and other elements can help to reduce motor vehicle speeds, making it easier for cyclists and vehicles to travel together.</w:t>
      </w:r>
    </w:p>
    <w:tbl>
      <w:tblPr>
        <w:tblW w:w="0" w:type="auto"/>
        <w:shd w:val="clear" w:color="auto" w:fill="FCE7BE" w:themeFill="accent2" w:themeFillTint="66"/>
        <w:tblCellMar>
          <w:top w:w="113" w:type="dxa"/>
          <w:bottom w:w="113" w:type="dxa"/>
        </w:tblCellMar>
        <w:tblLook w:val="04A0" w:firstRow="1" w:lastRow="0" w:firstColumn="1" w:lastColumn="0" w:noHBand="0" w:noVBand="1"/>
      </w:tblPr>
      <w:tblGrid>
        <w:gridCol w:w="9020"/>
      </w:tblGrid>
      <w:tr w:rsidR="000E2568" w:rsidRPr="0029304B" w14:paraId="03D50E78" w14:textId="77777777" w:rsidTr="00857054">
        <w:tc>
          <w:tcPr>
            <w:tcW w:w="9020" w:type="dxa"/>
            <w:shd w:val="clear" w:color="auto" w:fill="FCE7BE" w:themeFill="accent2" w:themeFillTint="66"/>
          </w:tcPr>
          <w:p w14:paraId="49024FD9" w14:textId="77777777" w:rsidR="000E2568" w:rsidRPr="0029304B" w:rsidRDefault="000E2568" w:rsidP="00CD0D54">
            <w:pPr>
              <w:pStyle w:val="Boxheader"/>
            </w:pPr>
            <w:r w:rsidRPr="0029304B">
              <w:t>Key actions</w:t>
            </w:r>
          </w:p>
          <w:p w14:paraId="78BE1B8F" w14:textId="77777777" w:rsidR="000E2568" w:rsidRPr="0029304B" w:rsidRDefault="0057017A" w:rsidP="00857054">
            <w:pPr>
              <w:pStyle w:val="ListParagraph"/>
            </w:pPr>
            <w:r w:rsidRPr="0029304B">
              <w:t>Develop dedicated cycle tracks along major streets.</w:t>
            </w:r>
          </w:p>
          <w:p w14:paraId="30343416" w14:textId="77777777" w:rsidR="000E2568" w:rsidRPr="0029304B" w:rsidRDefault="000138BA" w:rsidP="00857054">
            <w:pPr>
              <w:pStyle w:val="ListParagraph"/>
            </w:pPr>
            <w:r w:rsidRPr="0029304B">
              <w:t>Introduce b</w:t>
            </w:r>
            <w:r w:rsidR="000E2568" w:rsidRPr="0029304B">
              <w:t xml:space="preserve">ike repair training in </w:t>
            </w:r>
            <w:r w:rsidR="0057017A" w:rsidRPr="0029304B">
              <w:t>technical colleges</w:t>
            </w:r>
            <w:r w:rsidR="000E2568" w:rsidRPr="0029304B">
              <w:t>.</w:t>
            </w:r>
          </w:p>
          <w:p w14:paraId="5DBF02A3" w14:textId="77777777" w:rsidR="000E2568" w:rsidRPr="0029304B" w:rsidRDefault="007E6B3B" w:rsidP="00857054">
            <w:pPr>
              <w:pStyle w:val="ListParagraph"/>
            </w:pPr>
            <w:r w:rsidRPr="0029304B">
              <w:lastRenderedPageBreak/>
              <w:t>Create</w:t>
            </w:r>
            <w:r w:rsidR="000E2568" w:rsidRPr="0029304B">
              <w:t xml:space="preserve"> bicycle parking at all public</w:t>
            </w:r>
            <w:r w:rsidRPr="0029304B">
              <w:t xml:space="preserve"> buildings</w:t>
            </w:r>
            <w:r w:rsidR="000E2568" w:rsidRPr="0029304B">
              <w:t xml:space="preserve">, bus stations, </w:t>
            </w:r>
            <w:r w:rsidRPr="0029304B">
              <w:t xml:space="preserve">and </w:t>
            </w:r>
            <w:r w:rsidR="000E2568" w:rsidRPr="0029304B">
              <w:t>educational institutions</w:t>
            </w:r>
            <w:r w:rsidRPr="0029304B">
              <w:t>.</w:t>
            </w:r>
          </w:p>
        </w:tc>
      </w:tr>
    </w:tbl>
    <w:p w14:paraId="1F98D09C" w14:textId="77777777" w:rsidR="000E2568" w:rsidRPr="0029304B" w:rsidRDefault="000E2568" w:rsidP="000E2568"/>
    <w:p w14:paraId="4487C14B" w14:textId="77777777" w:rsidR="000E2568" w:rsidRPr="0029304B" w:rsidRDefault="000E2568" w:rsidP="000E2568">
      <w:pPr>
        <w:pStyle w:val="Heading2"/>
        <w:numPr>
          <w:ilvl w:val="1"/>
          <w:numId w:val="1"/>
        </w:numPr>
        <w:rPr>
          <w:lang w:val="en-GB"/>
        </w:rPr>
      </w:pPr>
      <w:bookmarkStart w:id="74" w:name="_Toc513831964"/>
      <w:bookmarkStart w:id="75" w:name="_Toc526259618"/>
      <w:bookmarkStart w:id="76" w:name="_Toc7200513"/>
      <w:r w:rsidRPr="0029304B">
        <w:rPr>
          <w:lang w:val="en-GB"/>
        </w:rPr>
        <w:t>Greenway network</w:t>
      </w:r>
      <w:bookmarkEnd w:id="74"/>
      <w:bookmarkEnd w:id="75"/>
      <w:bookmarkEnd w:id="76"/>
    </w:p>
    <w:p w14:paraId="458D507E" w14:textId="6A133594" w:rsidR="00C32D1B" w:rsidRPr="0029304B" w:rsidRDefault="006B6FAB" w:rsidP="00C32D1B">
      <w:r w:rsidRPr="0029304B">
        <w:t xml:space="preserve">To supplement walking and cycling improvements on city streets, open spaces in the city can be developed as NMT corridors that support commuting as well as recreational uses. The term “greenway” is used to describe walkways and cycle paths that utilise an independent ROW, such as in a park or water body. In this way, greenways can provide safe, convenient connectivity to important destinations, such as schools, colleges, and markets. Waterways can be cleaned through interception sewers and the removal of encroachments. Greenways should incorporate universally accessible walkways and dedicated cycle tracks, both of which should offer ample width for two-way movement and should be integrated into NMT networks along adjacent streets. </w:t>
      </w:r>
    </w:p>
    <w:tbl>
      <w:tblPr>
        <w:tblW w:w="0" w:type="auto"/>
        <w:shd w:val="clear" w:color="auto" w:fill="FCE7BE" w:themeFill="accent2" w:themeFillTint="66"/>
        <w:tblCellMar>
          <w:top w:w="113" w:type="dxa"/>
          <w:bottom w:w="113" w:type="dxa"/>
        </w:tblCellMar>
        <w:tblLook w:val="04A0" w:firstRow="1" w:lastRow="0" w:firstColumn="1" w:lastColumn="0" w:noHBand="0" w:noVBand="1"/>
      </w:tblPr>
      <w:tblGrid>
        <w:gridCol w:w="9020"/>
      </w:tblGrid>
      <w:tr w:rsidR="00C32D1B" w:rsidRPr="0029304B" w14:paraId="40F1A083" w14:textId="77777777" w:rsidTr="00622435">
        <w:tc>
          <w:tcPr>
            <w:tcW w:w="9020" w:type="dxa"/>
            <w:shd w:val="clear" w:color="auto" w:fill="FCE7BE" w:themeFill="accent2" w:themeFillTint="66"/>
          </w:tcPr>
          <w:p w14:paraId="5955C94A" w14:textId="77777777" w:rsidR="00C32D1B" w:rsidRPr="0029304B" w:rsidRDefault="00C32D1B" w:rsidP="00622435">
            <w:pPr>
              <w:pStyle w:val="Boxheader"/>
            </w:pPr>
            <w:r w:rsidRPr="0029304B">
              <w:t>Key actions</w:t>
            </w:r>
          </w:p>
          <w:p w14:paraId="64162761" w14:textId="7D2AA2C0" w:rsidR="00C32D1B" w:rsidRPr="0029304B" w:rsidRDefault="00C32D1B" w:rsidP="00C32D1B">
            <w:pPr>
              <w:pStyle w:val="ListParagraph"/>
            </w:pPr>
            <w:r w:rsidRPr="0029304B">
              <w:t xml:space="preserve">Develop </w:t>
            </w:r>
            <w:r>
              <w:t>greenways with NMT facilities along urban waterways.</w:t>
            </w:r>
          </w:p>
        </w:tc>
      </w:tr>
    </w:tbl>
    <w:p w14:paraId="04A3932E" w14:textId="77777777" w:rsidR="00FE0A18" w:rsidRPr="008F00AB" w:rsidRDefault="00FE0A18" w:rsidP="00FE0A18">
      <w:pPr>
        <w:pStyle w:val="Heading2"/>
        <w:rPr>
          <w:lang w:val="en-GB"/>
        </w:rPr>
      </w:pPr>
      <w:bookmarkStart w:id="77" w:name="_Toc7200514"/>
      <w:r>
        <w:rPr>
          <w:lang w:val="en-GB"/>
        </w:rPr>
        <w:t>Child mobility &amp; health</w:t>
      </w:r>
      <w:bookmarkEnd w:id="77"/>
    </w:p>
    <w:p w14:paraId="1D134BD6" w14:textId="24814959" w:rsidR="00363E4C" w:rsidRDefault="006D1DD5" w:rsidP="00DE333A">
      <w:bookmarkStart w:id="78" w:name="_6ekasaz4lm62" w:colFirst="0" w:colLast="0"/>
      <w:bookmarkEnd w:id="78"/>
      <w:r w:rsidRPr="0029304B">
        <w:t xml:space="preserve">Globally, road traffic injury is currently the leading cause of death for children and young adults. </w:t>
      </w:r>
      <w:r w:rsidR="00DE333A">
        <w:t>Specific efforts are needed to improve safety for children.</w:t>
      </w:r>
      <w:r w:rsidR="00DE333A" w:rsidRPr="00DE333A">
        <w:t xml:space="preserve"> </w:t>
      </w:r>
      <w:r w:rsidR="00363E4C">
        <w:t>As a first step, s</w:t>
      </w:r>
      <w:r w:rsidR="00DE333A" w:rsidRPr="00A23878">
        <w:t>afe school zones should be developed around each elementary school to improve safety and expand opportunities for play. School zones typically include speed restrictions to 30 km/h or below within a 200 m radius of the school as well as traffic calming elements to ensure that vehicles follow the speed limit. In addition</w:t>
      </w:r>
      <w:r w:rsidR="00363E4C">
        <w:t>,</w:t>
      </w:r>
      <w:r w:rsidR="00DE333A" w:rsidRPr="00A23878">
        <w:t xml:space="preserve"> signs indicating school zone presence, </w:t>
      </w:r>
      <w:r w:rsidR="00363E4C">
        <w:t xml:space="preserve">traffic calmed </w:t>
      </w:r>
      <w:r w:rsidR="00DE333A" w:rsidRPr="00A23878">
        <w:t>pedestrian crossings, and speed limits should be installed to remind drivers to treat the area with special care and attention. </w:t>
      </w:r>
    </w:p>
    <w:p w14:paraId="26B27ECB" w14:textId="7CFD29FF" w:rsidR="00C84F8D" w:rsidRPr="00A8616B" w:rsidRDefault="00363E4C" w:rsidP="00A8616B">
      <w:r>
        <w:t>In addition to school zones, streets near</w:t>
      </w:r>
      <w:r w:rsidR="00DE333A" w:rsidRPr="00A23878">
        <w:t xml:space="preserve"> playgrounds, parks, community </w:t>
      </w:r>
      <w:r>
        <w:t>centres, and other locations frequented by children</w:t>
      </w:r>
      <w:r w:rsidR="00DE333A" w:rsidRPr="00A23878">
        <w:t xml:space="preserve"> require special attention to pedestrian safety.</w:t>
      </w:r>
      <w:r>
        <w:t xml:space="preserve"> These areas also require footpaths, pedestrian crossings, cycle tracks, and other elements that improve safety for pedestrians and cyclists. Neighbourhood streets where children play also require traffic calming to reduce motor vehicle speeds. To further enhance the walking and cycling environment for children, public spaces and NMT facilities should incorporate spaces that encourage creative play.</w:t>
      </w:r>
    </w:p>
    <w:tbl>
      <w:tblPr>
        <w:tblW w:w="9070" w:type="dxa"/>
        <w:shd w:val="clear" w:color="auto" w:fill="FCE7BE" w:themeFill="accent2" w:themeFillTint="66"/>
        <w:tblCellMar>
          <w:top w:w="113" w:type="dxa"/>
          <w:bottom w:w="113" w:type="dxa"/>
        </w:tblCellMar>
        <w:tblLook w:val="04A0" w:firstRow="1" w:lastRow="0" w:firstColumn="1" w:lastColumn="0" w:noHBand="0" w:noVBand="1"/>
      </w:tblPr>
      <w:tblGrid>
        <w:gridCol w:w="9070"/>
      </w:tblGrid>
      <w:tr w:rsidR="000E2568" w:rsidRPr="0029304B" w14:paraId="2A383FAE" w14:textId="77777777" w:rsidTr="003929F7">
        <w:trPr>
          <w:trHeight w:val="283"/>
        </w:trPr>
        <w:tc>
          <w:tcPr>
            <w:tcW w:w="9070" w:type="dxa"/>
            <w:shd w:val="clear" w:color="auto" w:fill="FCE7BE" w:themeFill="accent2" w:themeFillTint="66"/>
          </w:tcPr>
          <w:p w14:paraId="28B6EC0B" w14:textId="77777777" w:rsidR="000E2568" w:rsidRPr="0029304B" w:rsidRDefault="000E2568" w:rsidP="003415DC">
            <w:pPr>
              <w:pStyle w:val="Boxheader"/>
            </w:pPr>
            <w:r w:rsidRPr="0029304B">
              <w:t>Key actions</w:t>
            </w:r>
          </w:p>
          <w:p w14:paraId="1C789DF9" w14:textId="77BB407B" w:rsidR="00FB0B14" w:rsidRDefault="00FB0B14" w:rsidP="008A5160">
            <w:pPr>
              <w:pStyle w:val="ListParagraph"/>
            </w:pPr>
            <w:r>
              <w:t>Conduct audits of the NMT environment around schools to inform the prioritisation of school zone interventions.</w:t>
            </w:r>
          </w:p>
          <w:p w14:paraId="0D328F49" w14:textId="480EBC0A" w:rsidR="00FB0B14" w:rsidRDefault="00FB0B14" w:rsidP="008A5160">
            <w:pPr>
              <w:pStyle w:val="ListParagraph"/>
            </w:pPr>
            <w:r w:rsidRPr="0029304B">
              <w:t>Develop safe pedestrian access in school zones</w:t>
            </w:r>
            <w:r>
              <w:t xml:space="preserve"> including 30 km/h speed limits, continuous footpaths for a radius of 200 m from the school, safe crossings, and adequate signage</w:t>
            </w:r>
            <w:r w:rsidRPr="0029304B">
              <w:t>.</w:t>
            </w:r>
          </w:p>
          <w:p w14:paraId="78509ECD" w14:textId="3A9E895A" w:rsidR="005E2B27" w:rsidRPr="0029304B" w:rsidRDefault="005E2B27" w:rsidP="008A5160">
            <w:pPr>
              <w:pStyle w:val="ListParagraph"/>
            </w:pPr>
            <w:r>
              <w:t xml:space="preserve">Adopt legislation to provide legal backing </w:t>
            </w:r>
            <w:r w:rsidR="00A8616B">
              <w:t>for traffic regulations</w:t>
            </w:r>
            <w:r>
              <w:t xml:space="preserve"> in school zones.</w:t>
            </w:r>
          </w:p>
          <w:p w14:paraId="24A523EA" w14:textId="6BCF4F9A" w:rsidR="000E2568" w:rsidRDefault="007F0614" w:rsidP="008A5160">
            <w:pPr>
              <w:pStyle w:val="ListParagraph"/>
            </w:pPr>
            <w:r>
              <w:t>Incorporate facilities in public spaces and road corridors that encourage creative play. Such spaces should be connected to NMT networks</w:t>
            </w:r>
            <w:r w:rsidR="00A8616B">
              <w:t xml:space="preserve"> through safe crossings and other means</w:t>
            </w:r>
            <w:r>
              <w:t>.</w:t>
            </w:r>
            <w:r w:rsidR="00A8616B">
              <w:t xml:space="preserve"> Local streets in neighbourhoods should incorporate traffic calming to create safe spaces for children.</w:t>
            </w:r>
          </w:p>
          <w:p w14:paraId="0C8A219D" w14:textId="21092D9F" w:rsidR="008A5160" w:rsidRPr="0029304B" w:rsidRDefault="008A5160" w:rsidP="008A5160">
            <w:pPr>
              <w:pStyle w:val="ListParagraph"/>
            </w:pPr>
            <w:r w:rsidRPr="0029304B">
              <w:lastRenderedPageBreak/>
              <w:t>Educate children and other road users on how to safely interact with streets paying special attention to children’s mobility.</w:t>
            </w:r>
          </w:p>
        </w:tc>
      </w:tr>
    </w:tbl>
    <w:p w14:paraId="4AEFC02A" w14:textId="77777777" w:rsidR="000E2568" w:rsidRPr="0029304B" w:rsidRDefault="000E2568" w:rsidP="000E2568"/>
    <w:p w14:paraId="6AABEFCF" w14:textId="77777777" w:rsidR="000E2568" w:rsidRPr="0029304B" w:rsidRDefault="000E2568" w:rsidP="000E2568">
      <w:pPr>
        <w:pStyle w:val="Heading2"/>
        <w:numPr>
          <w:ilvl w:val="1"/>
          <w:numId w:val="1"/>
        </w:numPr>
        <w:rPr>
          <w:lang w:val="en-GB"/>
        </w:rPr>
      </w:pPr>
      <w:bookmarkStart w:id="79" w:name="_Toc514529773"/>
      <w:bookmarkStart w:id="80" w:name="_Toc514590003"/>
      <w:bookmarkStart w:id="81" w:name="_Toc514612047"/>
      <w:bookmarkStart w:id="82" w:name="_Toc526259620"/>
      <w:bookmarkStart w:id="83" w:name="_Toc7200515"/>
      <w:r w:rsidRPr="0029304B">
        <w:rPr>
          <w:lang w:val="en-GB"/>
        </w:rPr>
        <w:t>Street lighting</w:t>
      </w:r>
      <w:bookmarkEnd w:id="79"/>
      <w:bookmarkEnd w:id="80"/>
      <w:bookmarkEnd w:id="81"/>
      <w:bookmarkEnd w:id="82"/>
      <w:bookmarkEnd w:id="83"/>
    </w:p>
    <w:p w14:paraId="02EB08DF" w14:textId="0A7BE163" w:rsidR="00CC0346" w:rsidRPr="00FE0A18" w:rsidRDefault="000E2568" w:rsidP="00CC0346">
      <w:r w:rsidRPr="0029304B">
        <w:t xml:space="preserve">Adequate street lighting improves safety by enhancing visibility—both the </w:t>
      </w:r>
      <w:r w:rsidR="008D5BE7" w:rsidRPr="0029304B">
        <w:t>NMT users’</w:t>
      </w:r>
      <w:r w:rsidRPr="0029304B">
        <w:t xml:space="preserve"> ability to survey </w:t>
      </w:r>
      <w:r w:rsidR="008D5BE7" w:rsidRPr="0029304B">
        <w:t>the</w:t>
      </w:r>
      <w:r w:rsidRPr="0029304B">
        <w:t xml:space="preserve"> surroundings</w:t>
      </w:r>
      <w:r w:rsidR="008D5BE7" w:rsidRPr="0029304B">
        <w:t xml:space="preserve"> </w:t>
      </w:r>
      <w:r w:rsidRPr="0029304B">
        <w:t>and drivers’ ability to see pedestrians</w:t>
      </w:r>
      <w:r w:rsidR="008D5BE7" w:rsidRPr="0029304B">
        <w:t xml:space="preserve"> and cyclists</w:t>
      </w:r>
      <w:r w:rsidRPr="0029304B">
        <w:t xml:space="preserve">. Street lighting also contributes to the perceived and actual threat of criminal activity. Designing streets with proper lighting therefore contributes to safety and security for </w:t>
      </w:r>
      <w:r w:rsidR="008D5BE7" w:rsidRPr="0029304B">
        <w:t>NMT users</w:t>
      </w:r>
      <w:r w:rsidRPr="0029304B">
        <w:t xml:space="preserve"> at night and encourages </w:t>
      </w:r>
      <w:r w:rsidR="008D5BE7" w:rsidRPr="0029304B">
        <w:t>NMT use</w:t>
      </w:r>
      <w:r w:rsidR="006A6CDB">
        <w:t>.</w:t>
      </w:r>
      <w:bookmarkStart w:id="84" w:name="_bwj1j3pv31xo" w:colFirst="0" w:colLast="0"/>
      <w:bookmarkEnd w:id="84"/>
    </w:p>
    <w:tbl>
      <w:tblPr>
        <w:tblW w:w="9070" w:type="dxa"/>
        <w:shd w:val="clear" w:color="auto" w:fill="FCE7BE" w:themeFill="accent2" w:themeFillTint="66"/>
        <w:tblCellMar>
          <w:top w:w="113" w:type="dxa"/>
          <w:bottom w:w="113" w:type="dxa"/>
        </w:tblCellMar>
        <w:tblLook w:val="04A0" w:firstRow="1" w:lastRow="0" w:firstColumn="1" w:lastColumn="0" w:noHBand="0" w:noVBand="1"/>
      </w:tblPr>
      <w:tblGrid>
        <w:gridCol w:w="9070"/>
      </w:tblGrid>
      <w:tr w:rsidR="00CC0346" w:rsidRPr="0029304B" w14:paraId="76C78611" w14:textId="77777777" w:rsidTr="00A92D85">
        <w:trPr>
          <w:trHeight w:val="283"/>
        </w:trPr>
        <w:tc>
          <w:tcPr>
            <w:tcW w:w="9070" w:type="dxa"/>
            <w:shd w:val="clear" w:color="auto" w:fill="FCE7BE" w:themeFill="accent2" w:themeFillTint="66"/>
          </w:tcPr>
          <w:p w14:paraId="0DC00A16" w14:textId="77777777" w:rsidR="00CC0346" w:rsidRPr="0029304B" w:rsidRDefault="00CC0346" w:rsidP="00A92D85">
            <w:pPr>
              <w:pStyle w:val="Boxheader"/>
            </w:pPr>
            <w:r w:rsidRPr="0029304B">
              <w:t>Key actions</w:t>
            </w:r>
          </w:p>
          <w:p w14:paraId="1B4FB4E1" w14:textId="747E12BF" w:rsidR="00CC0346" w:rsidRPr="0029304B" w:rsidRDefault="00CC0346" w:rsidP="006B41F2">
            <w:pPr>
              <w:numPr>
                <w:ilvl w:val="0"/>
                <w:numId w:val="12"/>
              </w:numPr>
            </w:pPr>
            <w:r w:rsidRPr="0029304B">
              <w:t>Repair all faulty existing street lights and expand street lighting into new streets.</w:t>
            </w:r>
            <w:r w:rsidR="0067191C" w:rsidRPr="0029304B">
              <w:t xml:space="preserve"> Prioritise streets with a high frequency of crashes.</w:t>
            </w:r>
          </w:p>
          <w:p w14:paraId="5BDADFC6" w14:textId="0F801549" w:rsidR="006A4517" w:rsidRPr="0029304B" w:rsidRDefault="00CC0346" w:rsidP="006B41F2">
            <w:pPr>
              <w:numPr>
                <w:ilvl w:val="0"/>
                <w:numId w:val="12"/>
              </w:numPr>
            </w:pPr>
            <w:r w:rsidRPr="0029304B">
              <w:t>Prepare maintenance plans for street lighting.</w:t>
            </w:r>
          </w:p>
        </w:tc>
      </w:tr>
    </w:tbl>
    <w:p w14:paraId="30D41FB7" w14:textId="77777777" w:rsidR="00FE0A18" w:rsidRPr="0029304B" w:rsidRDefault="00FE0A18" w:rsidP="00FE0A18">
      <w:pPr>
        <w:pStyle w:val="Heading2"/>
        <w:numPr>
          <w:ilvl w:val="1"/>
          <w:numId w:val="1"/>
        </w:numPr>
        <w:rPr>
          <w:lang w:val="en-GB"/>
        </w:rPr>
      </w:pPr>
      <w:bookmarkStart w:id="85" w:name="_Toc526259622"/>
      <w:bookmarkStart w:id="86" w:name="_Toc7200516"/>
      <w:r w:rsidRPr="0029304B">
        <w:rPr>
          <w:lang w:val="en-GB"/>
        </w:rPr>
        <w:t>Intersection improvements</w:t>
      </w:r>
      <w:bookmarkEnd w:id="85"/>
      <w:bookmarkEnd w:id="86"/>
    </w:p>
    <w:p w14:paraId="2D1F1CAA" w14:textId="61B62514" w:rsidR="000E2568" w:rsidRPr="00677FD0" w:rsidRDefault="000E2568" w:rsidP="00677FD0">
      <w:r w:rsidRPr="0029304B">
        <w:t xml:space="preserve">Improved intersection design can significantly reduce road crashes, injuries and fatalities while at the same time improving motorised traffic flow. Dedicated and protected space should be provided for pedestrians to safely cross the street at intersections. </w:t>
      </w:r>
      <w:r w:rsidR="00D64C1E" w:rsidRPr="0029304B">
        <w:t>Vehicle</w:t>
      </w:r>
      <w:r w:rsidRPr="0029304B">
        <w:t xml:space="preserve"> traffic should be controlled through traffic signals, to allow ample time for pedestrians to cross a street. Traffic calming measures such as speed bumps, tighter turns, restrictions on free turns, narrower lanes are equally necessary to improve safety for all road users, particularly pedestrians and cyclists. Bollards are also useful for defining refuge islands and protecting pedestrian spaces from encroachment by motorised traffic. </w:t>
      </w:r>
      <w:r w:rsidR="00170069" w:rsidRPr="0029304B">
        <w:t>Bollard</w:t>
      </w:r>
      <w:r w:rsidR="00CA3A10">
        <w:t xml:space="preserve"> placement should allow for universal access</w:t>
      </w:r>
      <w:r w:rsidR="00170069" w:rsidRPr="0029304B">
        <w:t>.</w:t>
      </w:r>
    </w:p>
    <w:p w14:paraId="6D842FE7" w14:textId="77777777" w:rsidR="000E2568" w:rsidRPr="0029304B" w:rsidRDefault="000E2568" w:rsidP="000E2568">
      <w:r w:rsidRPr="0029304B">
        <w:t>The following design strategies can be used;</w:t>
      </w:r>
    </w:p>
    <w:p w14:paraId="032EAD9A" w14:textId="77777777" w:rsidR="000E2568" w:rsidRPr="0029304B" w:rsidRDefault="000E2568" w:rsidP="006B41F2">
      <w:pPr>
        <w:numPr>
          <w:ilvl w:val="0"/>
          <w:numId w:val="6"/>
        </w:numPr>
      </w:pPr>
      <w:r w:rsidRPr="0029304B">
        <w:rPr>
          <w:b/>
        </w:rPr>
        <w:t>Tightening corner radii:</w:t>
      </w:r>
      <w:r w:rsidRPr="0029304B">
        <w:t xml:space="preserve"> Narrowing corner radii reduces vehicle turning speeds and pedestrian crossing distances. Reducing the size of a corner radius is key to creating safe and compact intersections.</w:t>
      </w:r>
    </w:p>
    <w:p w14:paraId="30C6AA03" w14:textId="77777777" w:rsidR="000E2568" w:rsidRPr="0029304B" w:rsidRDefault="000E2568" w:rsidP="006B41F2">
      <w:pPr>
        <w:numPr>
          <w:ilvl w:val="0"/>
          <w:numId w:val="6"/>
        </w:numPr>
      </w:pPr>
      <w:r w:rsidRPr="0029304B">
        <w:rPr>
          <w:b/>
        </w:rPr>
        <w:t>Medians and refuge islands:</w:t>
      </w:r>
      <w:r w:rsidRPr="0029304B">
        <w:t xml:space="preserve"> Centre pedestrian refuge islands which are </w:t>
      </w:r>
      <w:proofErr w:type="gramStart"/>
      <w:r w:rsidRPr="0029304B">
        <w:t>raised</w:t>
      </w:r>
      <w:proofErr w:type="gramEnd"/>
      <w:r w:rsidRPr="0029304B">
        <w:t xml:space="preserve"> and medians can be used to reduce lane width forcing drivers to slow down, thus improving safety of pedestrians. </w:t>
      </w:r>
    </w:p>
    <w:p w14:paraId="5075105B" w14:textId="77777777" w:rsidR="000E2568" w:rsidRPr="0029304B" w:rsidRDefault="000E2568" w:rsidP="006B41F2">
      <w:pPr>
        <w:numPr>
          <w:ilvl w:val="0"/>
          <w:numId w:val="6"/>
        </w:numPr>
      </w:pPr>
      <w:r w:rsidRPr="0029304B">
        <w:rPr>
          <w:b/>
        </w:rPr>
        <w:t>Creating direct pedestrian crossings:</w:t>
      </w:r>
      <w:r w:rsidRPr="0029304B">
        <w:t xml:space="preserve"> Pedestrian crossings should be aligned as closely as possible with the pedestrian clear path. Inconvenient deviations create an unfriendly pedestrian environment.</w:t>
      </w:r>
    </w:p>
    <w:p w14:paraId="360146AE" w14:textId="77777777" w:rsidR="000E2568" w:rsidRPr="0029304B" w:rsidRDefault="000E2568" w:rsidP="006B41F2">
      <w:pPr>
        <w:numPr>
          <w:ilvl w:val="0"/>
          <w:numId w:val="6"/>
        </w:numPr>
      </w:pPr>
      <w:r w:rsidRPr="0029304B">
        <w:rPr>
          <w:b/>
        </w:rPr>
        <w:t>Narrowing and aligning travel lanes</w:t>
      </w:r>
      <w:r w:rsidRPr="0029304B">
        <w:t>: Compact intersections improve visibility for all users and encourage predictable vehicle movements. Narrowing travel lanes slows down vehicle traffic, while aligning lanes coming in and out of an intersection facilitates efficient movement of traffic.</w:t>
      </w:r>
    </w:p>
    <w:p w14:paraId="4F656689" w14:textId="19570029" w:rsidR="000E2568" w:rsidRPr="0029304B" w:rsidRDefault="000E2568" w:rsidP="000E2568">
      <w:pPr>
        <w:numPr>
          <w:ilvl w:val="0"/>
          <w:numId w:val="6"/>
        </w:numPr>
      </w:pPr>
      <w:r w:rsidRPr="0029304B">
        <w:rPr>
          <w:b/>
        </w:rPr>
        <w:t>Reclaiming underutili</w:t>
      </w:r>
      <w:r w:rsidR="005C0C78" w:rsidRPr="0029304B">
        <w:rPr>
          <w:b/>
        </w:rPr>
        <w:t>s</w:t>
      </w:r>
      <w:r w:rsidRPr="0029304B">
        <w:rPr>
          <w:b/>
        </w:rPr>
        <w:t xml:space="preserve">ed space: </w:t>
      </w:r>
      <w:r w:rsidRPr="0029304B">
        <w:t>Implementing the above recommendations helps to reclaim underutili</w:t>
      </w:r>
      <w:r w:rsidR="005C0C78" w:rsidRPr="0029304B">
        <w:t>s</w:t>
      </w:r>
      <w:r w:rsidRPr="0029304B">
        <w:t xml:space="preserve">ed space, </w:t>
      </w:r>
      <w:r w:rsidR="005C0C78" w:rsidRPr="0029304B">
        <w:t>that</w:t>
      </w:r>
      <w:r w:rsidRPr="0029304B">
        <w:t xml:space="preserve"> can be improved to create public spaces, designate vendor locations, or include safe </w:t>
      </w:r>
      <w:r w:rsidR="00734302" w:rsidRPr="0029304B">
        <w:t>public transport</w:t>
      </w:r>
      <w:r w:rsidRPr="0029304B">
        <w:t xml:space="preserve"> stops.</w:t>
      </w:r>
    </w:p>
    <w:tbl>
      <w:tblPr>
        <w:tblW w:w="0" w:type="auto"/>
        <w:shd w:val="clear" w:color="auto" w:fill="FCE7BE" w:themeFill="accent2" w:themeFillTint="66"/>
        <w:tblCellMar>
          <w:top w:w="113" w:type="dxa"/>
          <w:bottom w:w="113" w:type="dxa"/>
        </w:tblCellMar>
        <w:tblLook w:val="04A0" w:firstRow="1" w:lastRow="0" w:firstColumn="1" w:lastColumn="0" w:noHBand="0" w:noVBand="1"/>
      </w:tblPr>
      <w:tblGrid>
        <w:gridCol w:w="9020"/>
      </w:tblGrid>
      <w:tr w:rsidR="000E2568" w:rsidRPr="0029304B" w14:paraId="02355CB5" w14:textId="77777777" w:rsidTr="00857054">
        <w:tc>
          <w:tcPr>
            <w:tcW w:w="9020" w:type="dxa"/>
            <w:shd w:val="clear" w:color="auto" w:fill="FCE7BE" w:themeFill="accent2" w:themeFillTint="66"/>
          </w:tcPr>
          <w:p w14:paraId="001B6B44" w14:textId="77777777" w:rsidR="000E2568" w:rsidRPr="0029304B" w:rsidRDefault="000E2568" w:rsidP="00734302">
            <w:pPr>
              <w:pStyle w:val="Boxheader"/>
            </w:pPr>
            <w:r w:rsidRPr="0029304B">
              <w:lastRenderedPageBreak/>
              <w:t>Key actions</w:t>
            </w:r>
          </w:p>
          <w:p w14:paraId="36EECCD8" w14:textId="00BE754D" w:rsidR="000E2568" w:rsidRPr="0029304B" w:rsidRDefault="00734302" w:rsidP="00734302">
            <w:pPr>
              <w:pStyle w:val="ListParagraph"/>
            </w:pPr>
            <w:r w:rsidRPr="0029304B">
              <w:t>Review road safety data to identify</w:t>
            </w:r>
            <w:r w:rsidR="00170069" w:rsidRPr="0029304B">
              <w:t xml:space="preserve"> hazardous locations</w:t>
            </w:r>
            <w:r w:rsidR="00A967BF">
              <w:t xml:space="preserve"> </w:t>
            </w:r>
            <w:r w:rsidRPr="0029304B">
              <w:t>and implement traffic calming improvements at dangerous intersections.</w:t>
            </w:r>
          </w:p>
        </w:tc>
      </w:tr>
    </w:tbl>
    <w:p w14:paraId="54322C46" w14:textId="634A7689" w:rsidR="000E2568" w:rsidRPr="00CE4906" w:rsidRDefault="00CE4906" w:rsidP="000E2568">
      <w:pPr>
        <w:pStyle w:val="Heading2"/>
        <w:numPr>
          <w:ilvl w:val="1"/>
          <w:numId w:val="1"/>
        </w:numPr>
        <w:rPr>
          <w:lang w:val="en-GB"/>
        </w:rPr>
      </w:pPr>
      <w:bookmarkStart w:id="87" w:name="_Ref513811799"/>
      <w:bookmarkStart w:id="88" w:name="_Toc513831967"/>
      <w:bookmarkStart w:id="89" w:name="_Toc526259623"/>
      <w:bookmarkStart w:id="90" w:name="_Toc7200517"/>
      <w:r w:rsidRPr="0029304B">
        <w:rPr>
          <w:lang w:val="en-GB"/>
        </w:rPr>
        <w:t>Bicycle sharing</w:t>
      </w:r>
      <w:bookmarkEnd w:id="87"/>
      <w:bookmarkEnd w:id="88"/>
      <w:bookmarkEnd w:id="89"/>
      <w:bookmarkEnd w:id="90"/>
    </w:p>
    <w:p w14:paraId="626531DD" w14:textId="5A660158" w:rsidR="000E2568" w:rsidRPr="0029304B" w:rsidRDefault="000E2568" w:rsidP="000E2568">
      <w:r w:rsidRPr="0029304B">
        <w:t xml:space="preserve">Bicycle sharing </w:t>
      </w:r>
      <w:r w:rsidR="00B07F55" w:rsidRPr="0029304B">
        <w:t>can</w:t>
      </w:r>
      <w:r w:rsidR="005A700C">
        <w:t xml:space="preserve"> serve short trips in </w:t>
      </w:r>
      <w:r w:rsidR="005A700C" w:rsidRPr="005A700C">
        <w:t>[COUNTRY]</w:t>
      </w:r>
      <w:r w:rsidR="00B07F55" w:rsidRPr="0029304B">
        <w:t xml:space="preserve"> cities</w:t>
      </w:r>
      <w:r w:rsidRPr="0029304B">
        <w:t xml:space="preserve"> and improve last-mile connectivity to public transport</w:t>
      </w:r>
      <w:r w:rsidR="00B07F55" w:rsidRPr="0029304B">
        <w:t xml:space="preserve"> </w:t>
      </w:r>
      <w:r w:rsidRPr="0029304B">
        <w:t>through a healthy, safe</w:t>
      </w:r>
      <w:r w:rsidR="00402D3A" w:rsidRPr="0029304B">
        <w:t>,</w:t>
      </w:r>
      <w:r w:rsidRPr="0029304B">
        <w:t xml:space="preserve"> and environmentally friendly means of transport. Bicycle sharing will contribute towards the rollout of a truly integrated transport system, based on a network of high-capacity BRT, and city bus/paratransit corridors. </w:t>
      </w:r>
    </w:p>
    <w:p w14:paraId="5F36C4BF" w14:textId="77777777" w:rsidR="000E2568" w:rsidRPr="0029304B" w:rsidRDefault="00402D3A" w:rsidP="000E2568">
      <w:r w:rsidRPr="0029304B">
        <w:t>B</w:t>
      </w:r>
      <w:r w:rsidR="000E2568" w:rsidRPr="0029304B">
        <w:t>icycle sharing system</w:t>
      </w:r>
      <w:r w:rsidRPr="0029304B">
        <w:t>s</w:t>
      </w:r>
      <w:r w:rsidR="000E2568" w:rsidRPr="0029304B">
        <w:t xml:space="preserve"> employ the following best practice features:</w:t>
      </w:r>
    </w:p>
    <w:p w14:paraId="5326CEF1" w14:textId="77777777" w:rsidR="000E2568" w:rsidRPr="0029304B" w:rsidRDefault="000E2568" w:rsidP="000E2568">
      <w:pPr>
        <w:pStyle w:val="ListParagraph"/>
      </w:pPr>
      <w:r w:rsidRPr="0029304B">
        <w:t>A dense network of stations across the coverage area.</w:t>
      </w:r>
    </w:p>
    <w:p w14:paraId="12DDE18C" w14:textId="77777777" w:rsidR="000E2568" w:rsidRPr="0029304B" w:rsidRDefault="000E2568" w:rsidP="000E2568">
      <w:pPr>
        <w:pStyle w:val="ListParagraph"/>
      </w:pPr>
      <w:r w:rsidRPr="0029304B">
        <w:t>Cycles with specially designed parts and sizes to discourage theft.</w:t>
      </w:r>
    </w:p>
    <w:p w14:paraId="65228436" w14:textId="77777777" w:rsidR="000E2568" w:rsidRPr="0029304B" w:rsidRDefault="000E2568" w:rsidP="000E2568">
      <w:pPr>
        <w:pStyle w:val="ListParagraph"/>
      </w:pPr>
      <w:r w:rsidRPr="0029304B">
        <w:t>An automated locking system that allows users to check cycles in or out without the need for staffing at stations.</w:t>
      </w:r>
    </w:p>
    <w:p w14:paraId="7836E8FA" w14:textId="77777777" w:rsidR="000E2568" w:rsidRPr="0029304B" w:rsidRDefault="000E2568" w:rsidP="000E2568">
      <w:pPr>
        <w:pStyle w:val="ListParagraph"/>
      </w:pPr>
      <w:r w:rsidRPr="0029304B">
        <w:t>IT systems to track where a cycle is picked up, where it is returned, and user’s identity.</w:t>
      </w:r>
    </w:p>
    <w:p w14:paraId="6D94A518" w14:textId="77777777" w:rsidR="000E2568" w:rsidRPr="0029304B" w:rsidRDefault="000E2568" w:rsidP="000E2568">
      <w:pPr>
        <w:pStyle w:val="ListParagraph"/>
      </w:pPr>
      <w:r w:rsidRPr="0029304B">
        <w:t>Real-time monitoring of station occupancy rates through General Packet Radio Service (GPRS), used to guide the redistribution of cycles.</w:t>
      </w:r>
    </w:p>
    <w:p w14:paraId="7A8E87AC" w14:textId="77777777" w:rsidR="000E2568" w:rsidRPr="0029304B" w:rsidRDefault="000E2568" w:rsidP="000E2568">
      <w:pPr>
        <w:pStyle w:val="ListParagraph"/>
      </w:pPr>
      <w:r w:rsidRPr="0029304B">
        <w:t>Real-time user information provided through various platforms, including the web, mobile phones, and/or on-site terminals.</w:t>
      </w:r>
    </w:p>
    <w:p w14:paraId="48F7B85C" w14:textId="77777777" w:rsidR="000E2568" w:rsidRPr="0029304B" w:rsidRDefault="000E2568" w:rsidP="000E2568">
      <w:pPr>
        <w:pStyle w:val="ListParagraph"/>
      </w:pPr>
      <w:r w:rsidRPr="0029304B">
        <w:t>Advertising space on cycles and at stations (provides revenue generation options for system operator or city).</w:t>
      </w:r>
    </w:p>
    <w:p w14:paraId="38F444DE" w14:textId="5A3AD1F2" w:rsidR="000E2568" w:rsidRPr="0029304B" w:rsidRDefault="000E2568" w:rsidP="00A0754E">
      <w:pPr>
        <w:pStyle w:val="ListParagraph"/>
      </w:pPr>
      <w:r w:rsidRPr="0029304B">
        <w:t>Pricing structures that incentivise short trips, helping to maximize the number of trips per cycle per day</w:t>
      </w:r>
      <w:r w:rsidR="00A0754E">
        <w:t>.</w:t>
      </w:r>
    </w:p>
    <w:p w14:paraId="0E02D5F0" w14:textId="77777777" w:rsidR="00402D3A" w:rsidRPr="0029304B" w:rsidRDefault="00402D3A" w:rsidP="00402D3A"/>
    <w:p w14:paraId="1DD61123" w14:textId="77777777" w:rsidR="000E2568" w:rsidRPr="0029304B" w:rsidRDefault="000E2568" w:rsidP="000E2568"/>
    <w:p w14:paraId="385C20FD" w14:textId="77777777" w:rsidR="000E2568" w:rsidRPr="0029304B" w:rsidRDefault="000E2568" w:rsidP="000E2568">
      <w:r w:rsidRPr="0029304B">
        <w:rPr>
          <w:noProof/>
          <w:lang w:val="en-US" w:eastAsia="zh-TW"/>
        </w:rPr>
        <w:drawing>
          <wp:inline distT="114300" distB="114300" distL="114300" distR="114300" wp14:anchorId="73C53FD9" wp14:editId="712F7093">
            <wp:extent cx="5731200" cy="2730500"/>
            <wp:effectExtent l="0" t="0" r="0" b="0"/>
            <wp:docPr id="21538"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4" cstate="print">
                      <a:extLst>
                        <a:ext uri="{28A0092B-C50C-407E-A947-70E740481C1C}">
                          <a14:useLocalDpi xmlns:a14="http://schemas.microsoft.com/office/drawing/2010/main"/>
                        </a:ext>
                      </a:extLst>
                    </a:blip>
                    <a:srcRect/>
                    <a:stretch>
                      <a:fillRect/>
                    </a:stretch>
                  </pic:blipFill>
                  <pic:spPr>
                    <a:xfrm>
                      <a:off x="0" y="0"/>
                      <a:ext cx="5731200" cy="2730500"/>
                    </a:xfrm>
                    <a:prstGeom prst="rect">
                      <a:avLst/>
                    </a:prstGeom>
                    <a:ln/>
                  </pic:spPr>
                </pic:pic>
              </a:graphicData>
            </a:graphic>
          </wp:inline>
        </w:drawing>
      </w:r>
    </w:p>
    <w:p w14:paraId="416A695E" w14:textId="12BCD212" w:rsidR="000E2568" w:rsidRPr="0029304B" w:rsidRDefault="000E2568" w:rsidP="000E2568">
      <w:pPr>
        <w:pStyle w:val="Caption"/>
      </w:pPr>
      <w:r w:rsidRPr="0029304B">
        <w:lastRenderedPageBreak/>
        <w:t xml:space="preserve">Figure </w:t>
      </w:r>
      <w:r w:rsidRPr="0029304B">
        <w:fldChar w:fldCharType="begin"/>
      </w:r>
      <w:r w:rsidRPr="0029304B">
        <w:instrText xml:space="preserve"> SEQ Figure \* ARABIC </w:instrText>
      </w:r>
      <w:r w:rsidRPr="0029304B">
        <w:fldChar w:fldCharType="separate"/>
      </w:r>
      <w:r w:rsidR="00D57082">
        <w:rPr>
          <w:noProof/>
        </w:rPr>
        <w:t>24</w:t>
      </w:r>
      <w:r w:rsidRPr="0029304B">
        <w:fldChar w:fldCharType="end"/>
      </w:r>
      <w:r w:rsidRPr="0029304B">
        <w:t>: A unique, unisex, robust bicycle design is critical. Such a design increases brand awareness and allows the bicycle to be used by anyone.</w:t>
      </w:r>
    </w:p>
    <w:p w14:paraId="2A5924B9" w14:textId="77777777" w:rsidR="000E2568" w:rsidRPr="0029304B" w:rsidRDefault="000E2568" w:rsidP="000E2568"/>
    <w:p w14:paraId="38E2A46D" w14:textId="77777777" w:rsidR="00BA5975" w:rsidRPr="0029304B" w:rsidRDefault="00BA5975" w:rsidP="00BA5975">
      <w:r w:rsidRPr="0029304B">
        <w:t>Stations should be placed at frequent intervals, serving public transport hubs; offices and institutions; healthcare facilities; educational institutions; cultural hubs, and tourist destinations. Close station spacing reduces the distance that a user has to walk to access the bicycle sharing system.</w:t>
      </w:r>
    </w:p>
    <w:p w14:paraId="69CAAD8E" w14:textId="77777777" w:rsidR="00BA5975" w:rsidRPr="0029304B" w:rsidRDefault="00E84F59" w:rsidP="00BA5975">
      <w:r w:rsidRPr="0029304B">
        <w:t>Bicycle sharing can serve</w:t>
      </w:r>
      <w:r w:rsidR="00BA5975" w:rsidRPr="0029304B">
        <w:t xml:space="preserve"> commuters who travel by public transport and need a “last mile” option to reach their final destinations; workers and students who need to make short-distance errands during the day; and tourists using the bicycles to explore the city centre. People who already use bicycles will benefit from “safety in numbers” once the system begins to generate a larger number of cycling trips in the city. In addition, bicycle sharing stations can be paired with parking areas for personal cycles. Dedicated bicycle facilities developed in the bicycle sharing coverage area will benefit existing cyclists and new users alike. The project also will provide an employment opportunity to the poor, particularly in the form of the semi-skilled labour in support of system operations.</w:t>
      </w:r>
    </w:p>
    <w:p w14:paraId="1F711720" w14:textId="77777777" w:rsidR="00BA5975" w:rsidRPr="0029304B" w:rsidRDefault="00BA5975" w:rsidP="00BA5975">
      <w:r w:rsidRPr="0029304B">
        <w:t xml:space="preserve">The registration system </w:t>
      </w:r>
      <w:r w:rsidR="00E84F59" w:rsidRPr="0029304B">
        <w:t>should</w:t>
      </w:r>
      <w:r w:rsidRPr="0029304B">
        <w:t xml:space="preserve"> incorporate safeguards to accommodate vulnerable users. While the majority of users </w:t>
      </w:r>
      <w:r w:rsidR="00E84F59" w:rsidRPr="0029304B">
        <w:t>can</w:t>
      </w:r>
      <w:r w:rsidRPr="0029304B">
        <w:t xml:space="preserve"> access </w:t>
      </w:r>
      <w:r w:rsidR="00E84F59" w:rsidRPr="0029304B">
        <w:t>a bikeshare</w:t>
      </w:r>
      <w:r w:rsidRPr="0029304B">
        <w:t xml:space="preserve"> system through </w:t>
      </w:r>
      <w:r w:rsidR="00E84F59" w:rsidRPr="0029304B">
        <w:t>a</w:t>
      </w:r>
      <w:r w:rsidRPr="0029304B">
        <w:t xml:space="preserve"> website or station terminals, it is important to have a face-to-face platform at a central location where users can subscribe to the system and make payments. Through creative approaches to user registration, payment, and system management, </w:t>
      </w:r>
      <w:r w:rsidR="00E84F59" w:rsidRPr="0029304B">
        <w:t>bikeshare projects can</w:t>
      </w:r>
      <w:r w:rsidRPr="0029304B">
        <w:t xml:space="preserve"> overcome implementation barriers related to purchasing power, credit card/debit card penetration, smartphone penetration, and security.</w:t>
      </w:r>
    </w:p>
    <w:p w14:paraId="5090E7BD" w14:textId="685D61FA" w:rsidR="00BA5975" w:rsidRDefault="00BA5975" w:rsidP="00BA5975">
      <w:r w:rsidRPr="0029304B">
        <w:t xml:space="preserve">Following the completion of preparatory activities, </w:t>
      </w:r>
      <w:r w:rsidR="00E84F59" w:rsidRPr="0029304B">
        <w:t>local authorities can</w:t>
      </w:r>
      <w:r w:rsidRPr="0029304B">
        <w:t xml:space="preserve"> contract private operator</w:t>
      </w:r>
      <w:r w:rsidR="00E84F59" w:rsidRPr="0029304B">
        <w:t>s</w:t>
      </w:r>
      <w:r w:rsidRPr="0029304B">
        <w:t xml:space="preserve"> to install</w:t>
      </w:r>
      <w:r w:rsidR="00E84F59" w:rsidRPr="0029304B">
        <w:t xml:space="preserve"> bikeshare</w:t>
      </w:r>
      <w:r w:rsidRPr="0029304B">
        <w:t xml:space="preserve"> system</w:t>
      </w:r>
      <w:r w:rsidR="00E84F59" w:rsidRPr="0029304B">
        <w:t>s</w:t>
      </w:r>
      <w:r w:rsidRPr="0029304B">
        <w:t xml:space="preserve"> and handle day-to-day operations and maintenance. To ensure long-term sustainability of the project, </w:t>
      </w:r>
      <w:r w:rsidR="00E84F59" w:rsidRPr="0029304B">
        <w:t>local authorities should</w:t>
      </w:r>
      <w:r w:rsidRPr="0029304B">
        <w:t xml:space="preserve"> identify full-time staff to manage </w:t>
      </w:r>
      <w:r w:rsidR="00E84F59" w:rsidRPr="0029304B">
        <w:t>bikeshare systems</w:t>
      </w:r>
      <w:r w:rsidRPr="0029304B">
        <w:t xml:space="preserve">. </w:t>
      </w:r>
      <w:r w:rsidR="0061292D" w:rsidRPr="0029304B">
        <w:t>Bikeshare systems can be</w:t>
      </w:r>
      <w:r w:rsidRPr="0029304B">
        <w:t xml:space="preserve"> funded through a combination of revenue sources, including advertising, sponsorships, user fees, and the city budget.</w:t>
      </w:r>
      <w:r w:rsidR="0061292D" w:rsidRPr="0029304B">
        <w:t xml:space="preserve"> </w:t>
      </w:r>
      <w:r w:rsidRPr="0029304B">
        <w:t xml:space="preserve">The launch of </w:t>
      </w:r>
      <w:r w:rsidR="0061292D" w:rsidRPr="0029304B">
        <w:t>bikeshare systems should</w:t>
      </w:r>
      <w:r w:rsidRPr="0029304B">
        <w:t xml:space="preserve"> be accompanied by a number of communications and outreach activities aimed at encouraging use of the system, particularly among women, and building a stronger cycling culture in the city.</w:t>
      </w:r>
    </w:p>
    <w:p w14:paraId="618497B3" w14:textId="1BF984A8" w:rsidR="00B47CAC" w:rsidRPr="0029304B" w:rsidRDefault="005B12CD" w:rsidP="005B12CD">
      <w:r>
        <w:t xml:space="preserve">Along with bicycle sharing systems in city centres, an important means of expanding access to cycles is the provision of bicycles through </w:t>
      </w:r>
      <w:r w:rsidRPr="001B5B8B">
        <w:t>low-interest micro-loans or income generating projects</w:t>
      </w:r>
      <w:r>
        <w:t>. While cycling may be cheaper overall than using public transport, the upfront cost of a high-quality bicycle can be prohibitive for low-income earners, especially after the application of high import tariffs. Microfinance can help reduce this barrier to cycle purchases.</w:t>
      </w:r>
    </w:p>
    <w:p w14:paraId="62171194" w14:textId="77777777" w:rsidR="000E2568" w:rsidRPr="0029304B" w:rsidRDefault="000E2568" w:rsidP="000E2568"/>
    <w:tbl>
      <w:tblPr>
        <w:tblW w:w="0" w:type="auto"/>
        <w:shd w:val="clear" w:color="auto" w:fill="FCE7BE" w:themeFill="accent2" w:themeFillTint="66"/>
        <w:tblCellMar>
          <w:top w:w="113" w:type="dxa"/>
          <w:bottom w:w="113" w:type="dxa"/>
        </w:tblCellMar>
        <w:tblLook w:val="04A0" w:firstRow="1" w:lastRow="0" w:firstColumn="1" w:lastColumn="0" w:noHBand="0" w:noVBand="1"/>
      </w:tblPr>
      <w:tblGrid>
        <w:gridCol w:w="9020"/>
      </w:tblGrid>
      <w:tr w:rsidR="000E2568" w:rsidRPr="0029304B" w14:paraId="24EFF115" w14:textId="77777777" w:rsidTr="00857054">
        <w:tc>
          <w:tcPr>
            <w:tcW w:w="9020" w:type="dxa"/>
            <w:shd w:val="clear" w:color="auto" w:fill="FCE7BE" w:themeFill="accent2" w:themeFillTint="66"/>
          </w:tcPr>
          <w:p w14:paraId="2A0A4564" w14:textId="77777777" w:rsidR="000E2568" w:rsidRPr="0029304B" w:rsidRDefault="000E2568" w:rsidP="00BA5975">
            <w:pPr>
              <w:pStyle w:val="Boxheader"/>
            </w:pPr>
            <w:r w:rsidRPr="0029304B">
              <w:t>Key actions</w:t>
            </w:r>
          </w:p>
          <w:p w14:paraId="0BD8D3CD" w14:textId="77777777" w:rsidR="000E2568" w:rsidRDefault="00BA5975" w:rsidP="00857054">
            <w:pPr>
              <w:pStyle w:val="ListParagraph"/>
            </w:pPr>
            <w:r w:rsidRPr="0029304B">
              <w:t>Implement bicycle sharing systems in dense, mixed-use city areas</w:t>
            </w:r>
            <w:r w:rsidR="000E2568" w:rsidRPr="0029304B">
              <w:t xml:space="preserve"> </w:t>
            </w:r>
            <w:r w:rsidRPr="0029304B">
              <w:t>to serve short trips and improve last-mile connectivity to public transport.</w:t>
            </w:r>
          </w:p>
          <w:p w14:paraId="6714D302" w14:textId="642B3356" w:rsidR="00B47CAC" w:rsidRPr="0029304B" w:rsidRDefault="00B47CAC" w:rsidP="00857054">
            <w:pPr>
              <w:pStyle w:val="ListParagraph"/>
            </w:pPr>
            <w:r>
              <w:t>Expand microfinance facilities to support the purchase of low-cost bicycles.</w:t>
            </w:r>
          </w:p>
        </w:tc>
      </w:tr>
    </w:tbl>
    <w:p w14:paraId="2400880D" w14:textId="74CA90FF" w:rsidR="000E2568" w:rsidRDefault="000E2568" w:rsidP="000E2568"/>
    <w:p w14:paraId="1A298964" w14:textId="77777777" w:rsidR="00443676" w:rsidRPr="0029304B" w:rsidRDefault="00443676" w:rsidP="000E2568"/>
    <w:p w14:paraId="437010E5" w14:textId="77777777" w:rsidR="000E2568" w:rsidRPr="0029304B" w:rsidRDefault="000E2568" w:rsidP="000E2568">
      <w:pPr>
        <w:pStyle w:val="Heading2"/>
        <w:numPr>
          <w:ilvl w:val="1"/>
          <w:numId w:val="1"/>
        </w:numPr>
        <w:rPr>
          <w:lang w:val="en-GB"/>
        </w:rPr>
      </w:pPr>
      <w:bookmarkStart w:id="91" w:name="_Ref513708434"/>
      <w:bookmarkStart w:id="92" w:name="_Toc513831968"/>
      <w:bookmarkStart w:id="93" w:name="_Toc526259624"/>
      <w:bookmarkStart w:id="94" w:name="_Toc7200518"/>
      <w:r w:rsidRPr="0029304B">
        <w:rPr>
          <w:lang w:val="en-GB"/>
        </w:rPr>
        <w:lastRenderedPageBreak/>
        <w:t>Review of street design standards</w:t>
      </w:r>
      <w:bookmarkEnd w:id="91"/>
      <w:bookmarkEnd w:id="92"/>
      <w:bookmarkEnd w:id="93"/>
      <w:bookmarkEnd w:id="94"/>
    </w:p>
    <w:p w14:paraId="1C3F3DFC" w14:textId="6FF4AE30" w:rsidR="000E2568" w:rsidRPr="0029304B" w:rsidRDefault="00B21A8A" w:rsidP="001A2E5D">
      <w:r w:rsidRPr="0029304B">
        <w:t xml:space="preserve">A </w:t>
      </w:r>
      <w:r w:rsidR="00A0754E">
        <w:t>[COUNTRY’S]</w:t>
      </w:r>
      <w:r w:rsidR="00EB1D7C" w:rsidRPr="0029304B">
        <w:t xml:space="preserve"> Ur</w:t>
      </w:r>
      <w:r w:rsidR="00A0754E">
        <w:t>ban Street Design Manual</w:t>
      </w:r>
      <w:r w:rsidR="00EB1D7C" w:rsidRPr="0029304B">
        <w:t xml:space="preserve"> </w:t>
      </w:r>
      <w:r w:rsidR="000E2568" w:rsidRPr="0029304B">
        <w:t xml:space="preserve">should be developed </w:t>
      </w:r>
      <w:r w:rsidR="001A2E5D" w:rsidRPr="0029304B">
        <w:t>to provide guidance on the design of urban streets. The manual should incorporate a</w:t>
      </w:r>
      <w:r w:rsidRPr="0029304B">
        <w:t>ppropriate guidance on design speeds for different classes of roads, ensuring slower speeds that encourage safe motor vehicle driving behaviour</w:t>
      </w:r>
      <w:r w:rsidR="000E2568" w:rsidRPr="0029304B">
        <w:t>.</w:t>
      </w:r>
      <w:r w:rsidR="001A2E5D" w:rsidRPr="0029304B">
        <w:t xml:space="preserve"> It should also </w:t>
      </w:r>
      <w:r w:rsidR="008337FB" w:rsidRPr="0029304B">
        <w:t>incorporate</w:t>
      </w:r>
      <w:r w:rsidR="001A2E5D" w:rsidRPr="0029304B">
        <w:t xml:space="preserve"> d</w:t>
      </w:r>
      <w:r w:rsidRPr="0029304B">
        <w:t xml:space="preserve">etails on </w:t>
      </w:r>
      <w:r w:rsidR="001A2E5D" w:rsidRPr="0029304B">
        <w:t>the geometry of footpaths, cycle tracks, crossings, bus stops, street vending spaces, on-street parking, bus rapid transit, and intersections.</w:t>
      </w:r>
    </w:p>
    <w:p w14:paraId="4139A1E5" w14:textId="77777777" w:rsidR="000E2568" w:rsidRPr="0029304B" w:rsidRDefault="000E2568" w:rsidP="000E2568"/>
    <w:tbl>
      <w:tblPr>
        <w:tblW w:w="0" w:type="auto"/>
        <w:shd w:val="clear" w:color="auto" w:fill="FCE7BE" w:themeFill="accent2" w:themeFillTint="66"/>
        <w:tblCellMar>
          <w:top w:w="113" w:type="dxa"/>
          <w:bottom w:w="113" w:type="dxa"/>
        </w:tblCellMar>
        <w:tblLook w:val="04A0" w:firstRow="1" w:lastRow="0" w:firstColumn="1" w:lastColumn="0" w:noHBand="0" w:noVBand="1"/>
      </w:tblPr>
      <w:tblGrid>
        <w:gridCol w:w="9020"/>
      </w:tblGrid>
      <w:tr w:rsidR="000E2568" w:rsidRPr="0029304B" w14:paraId="20B7E0CA" w14:textId="77777777" w:rsidTr="00857054">
        <w:tc>
          <w:tcPr>
            <w:tcW w:w="9020" w:type="dxa"/>
            <w:shd w:val="clear" w:color="auto" w:fill="FCE7BE" w:themeFill="accent2" w:themeFillTint="66"/>
          </w:tcPr>
          <w:p w14:paraId="5B04B49E" w14:textId="77777777" w:rsidR="000E2568" w:rsidRPr="0029304B" w:rsidRDefault="000E2568" w:rsidP="001A2E5D">
            <w:pPr>
              <w:pStyle w:val="Boxheader"/>
            </w:pPr>
            <w:r w:rsidRPr="0029304B">
              <w:t>Key actions</w:t>
            </w:r>
          </w:p>
          <w:p w14:paraId="5E91F6DA" w14:textId="2402616F" w:rsidR="000E2568" w:rsidRPr="0029304B" w:rsidRDefault="00A0754E" w:rsidP="001A2E5D">
            <w:pPr>
              <w:pStyle w:val="ListParagraph"/>
            </w:pPr>
            <w:r>
              <w:t xml:space="preserve">Develop a </w:t>
            </w:r>
            <w:r w:rsidR="00B6385F">
              <w:t>[NATIONAL]</w:t>
            </w:r>
            <w:r w:rsidR="00EB1D7C" w:rsidRPr="0029304B">
              <w:t xml:space="preserve"> Urban Street Design Manual </w:t>
            </w:r>
            <w:r w:rsidR="001A2E5D" w:rsidRPr="0029304B">
              <w:t xml:space="preserve">for use by </w:t>
            </w:r>
            <w:r w:rsidR="003E1225">
              <w:t xml:space="preserve">engineers </w:t>
            </w:r>
            <w:r w:rsidR="000E2568" w:rsidRPr="0029304B">
              <w:t xml:space="preserve">and </w:t>
            </w:r>
            <w:r w:rsidR="001A2E5D" w:rsidRPr="0029304B">
              <w:t xml:space="preserve">local authorities </w:t>
            </w:r>
            <w:r w:rsidR="000E2568" w:rsidRPr="0029304B">
              <w:t xml:space="preserve">to guide </w:t>
            </w:r>
            <w:r w:rsidR="00EB1D7C" w:rsidRPr="0029304B">
              <w:t xml:space="preserve">the </w:t>
            </w:r>
            <w:r w:rsidR="000E2568" w:rsidRPr="0029304B">
              <w:t xml:space="preserve">design and development of </w:t>
            </w:r>
            <w:r w:rsidR="001A2E5D" w:rsidRPr="0029304B">
              <w:t>urban streets</w:t>
            </w:r>
            <w:r w:rsidR="000E2568" w:rsidRPr="0029304B">
              <w:t>.</w:t>
            </w:r>
          </w:p>
        </w:tc>
      </w:tr>
    </w:tbl>
    <w:p w14:paraId="493765D2" w14:textId="77777777" w:rsidR="000E2568" w:rsidRPr="0029304B" w:rsidRDefault="000E2568" w:rsidP="00EB1D7C"/>
    <w:p w14:paraId="6D4A0B38" w14:textId="77777777" w:rsidR="000E2568" w:rsidRPr="0029304B" w:rsidRDefault="000E2568" w:rsidP="000E2568">
      <w:pPr>
        <w:pStyle w:val="Heading2"/>
        <w:numPr>
          <w:ilvl w:val="1"/>
          <w:numId w:val="1"/>
        </w:numPr>
        <w:rPr>
          <w:lang w:val="en-GB"/>
        </w:rPr>
      </w:pPr>
      <w:bookmarkStart w:id="95" w:name="_Toc513831969"/>
      <w:bookmarkStart w:id="96" w:name="_Toc526259625"/>
      <w:bookmarkStart w:id="97" w:name="_Toc7200519"/>
      <w:r w:rsidRPr="0029304B">
        <w:rPr>
          <w:lang w:val="en-GB"/>
        </w:rPr>
        <w:t>Parking management</w:t>
      </w:r>
      <w:bookmarkEnd w:id="95"/>
      <w:bookmarkEnd w:id="96"/>
      <w:bookmarkEnd w:id="97"/>
    </w:p>
    <w:p w14:paraId="49940B20" w14:textId="27BF279A" w:rsidR="000E2568" w:rsidRPr="0029304B" w:rsidRDefault="00FD343D" w:rsidP="000E2568">
      <w:r w:rsidRPr="0029304B">
        <w:t xml:space="preserve">On-street parking should be provided only after adequate provisions have been made for higher priority transport modes, including walking, cycling, and public transport. Where on-street parking is provided, market-based parking fees can help manage demand. In addition, robust parking enforcement mechanisms are needed to ensure that walking and cycling facilities, once built, remain well maintained and free of encroachments. Over time, the rationalisation of on-street parking can help reclaim street space for sustainable modes and manage the use of personal motor </w:t>
      </w:r>
      <w:r w:rsidR="00D85E83" w:rsidRPr="0029304B">
        <w:t>vehicles. Pedestrian</w:t>
      </w:r>
      <w:r w:rsidR="000E2568" w:rsidRPr="0029304B">
        <w:t xml:space="preserve"> footpaths, forcing pedestrians to walk on the carriageway. Since parking rules are not defined, enforcement is arbitrary. Parking outside of CBD</w:t>
      </w:r>
      <w:r w:rsidR="008C3016" w:rsidRPr="0029304B">
        <w:t xml:space="preserve">s </w:t>
      </w:r>
      <w:r w:rsidR="000E2568" w:rsidRPr="0029304B">
        <w:t>is</w:t>
      </w:r>
      <w:r w:rsidR="008C3016" w:rsidRPr="0029304B">
        <w:t xml:space="preserve"> usually</w:t>
      </w:r>
      <w:r w:rsidR="000E2568" w:rsidRPr="0029304B">
        <w:t xml:space="preserve"> free of charge</w:t>
      </w:r>
      <w:r w:rsidR="008C3016" w:rsidRPr="0029304B">
        <w:t xml:space="preserve"> and cities do </w:t>
      </w:r>
      <w:r w:rsidR="000E2568" w:rsidRPr="0029304B">
        <w:t>not receive any revenue for the use of valuable public space by private vehicles.</w:t>
      </w:r>
    </w:p>
    <w:p w14:paraId="7857F0DA" w14:textId="7BCE8A71" w:rsidR="000E2568" w:rsidRPr="0029304B" w:rsidRDefault="000E2568" w:rsidP="000E2568">
      <w:r w:rsidRPr="0029304B">
        <w:t>Clear and consistent customer information on parking rules and fee levels is necessary for efficient parking management. Parking fees should be based on demand. Parking charges for areas with higher demand should be higher than those where demand is lower. Income generated from parking fees can be used for street improvement including construction of new NMT and maintenance of existing NMT facilities</w:t>
      </w:r>
      <w:r w:rsidR="006271C5" w:rsidRPr="0029304B">
        <w:t xml:space="preserve"> and</w:t>
      </w:r>
      <w:r w:rsidRPr="0029304B">
        <w:t xml:space="preserve"> tree planting.</w:t>
      </w:r>
    </w:p>
    <w:p w14:paraId="6F10E685" w14:textId="77777777" w:rsidR="000E2568" w:rsidRPr="0029304B" w:rsidRDefault="000E2568" w:rsidP="000E2568">
      <w:r w:rsidRPr="0029304B">
        <w:t>Efficient and effective parking management system</w:t>
      </w:r>
      <w:r w:rsidR="008C3016" w:rsidRPr="0029304B">
        <w:t>s</w:t>
      </w:r>
      <w:r w:rsidRPr="0029304B">
        <w:t xml:space="preserve"> should have the following features</w:t>
      </w:r>
      <w:r w:rsidR="008C3016" w:rsidRPr="0029304B">
        <w:t>:</w:t>
      </w:r>
    </w:p>
    <w:p w14:paraId="76687ADE" w14:textId="77777777" w:rsidR="000E2568" w:rsidRPr="0029304B" w:rsidRDefault="000E2568" w:rsidP="000E2568">
      <w:pPr>
        <w:pStyle w:val="ListParagraph"/>
      </w:pPr>
      <w:r w:rsidRPr="0029304B">
        <w:t xml:space="preserve">Handheld devices for use by parking field officers to administer and enforce parking fees. </w:t>
      </w:r>
    </w:p>
    <w:p w14:paraId="213E8EE9" w14:textId="77777777" w:rsidR="000E2568" w:rsidRPr="0029304B" w:rsidRDefault="000E2568" w:rsidP="000E2568">
      <w:pPr>
        <w:pStyle w:val="ListParagraph"/>
      </w:pPr>
      <w:r w:rsidRPr="0029304B">
        <w:t xml:space="preserve">Management software that will serve as the interface between the field officers, system managers, and the </w:t>
      </w:r>
      <w:r w:rsidR="00BE48FA" w:rsidRPr="0029304B">
        <w:t>local authority</w:t>
      </w:r>
      <w:r w:rsidRPr="0029304B">
        <w:t>.</w:t>
      </w:r>
    </w:p>
    <w:p w14:paraId="77FD48A6" w14:textId="77777777" w:rsidR="000E2568" w:rsidRPr="0029304B" w:rsidRDefault="000E2568" w:rsidP="000E2568">
      <w:pPr>
        <w:pStyle w:val="ListParagraph"/>
      </w:pPr>
      <w:r w:rsidRPr="0029304B">
        <w:t xml:space="preserve">On-street signage, consisting of static signs informing drivers of parking regulations on each street and live message boards alerting drivers concerning available parking spaces nearby. </w:t>
      </w:r>
    </w:p>
    <w:p w14:paraId="4AD8F77F" w14:textId="77777777" w:rsidR="000E2568" w:rsidRPr="0029304B" w:rsidRDefault="000E2568" w:rsidP="000E2568">
      <w:pPr>
        <w:pStyle w:val="ListParagraph"/>
      </w:pPr>
      <w:r w:rsidRPr="0029304B">
        <w:t xml:space="preserve">Customer service kiosks should be set up at strategic locations to provide any necessary assistance or information to vehicle owners. </w:t>
      </w:r>
    </w:p>
    <w:p w14:paraId="009BB242" w14:textId="77777777" w:rsidR="000E2568" w:rsidRPr="0029304B" w:rsidRDefault="000E2568" w:rsidP="000E2568">
      <w:pPr>
        <w:pStyle w:val="ListParagraph"/>
      </w:pPr>
      <w:r w:rsidRPr="0029304B">
        <w:t xml:space="preserve">A telephone hotline is necessary to facilitate communication between vehicle owners and city management. </w:t>
      </w:r>
    </w:p>
    <w:p w14:paraId="70124FC3" w14:textId="4180A054" w:rsidR="000E2568" w:rsidRPr="0029304B" w:rsidRDefault="000E2568" w:rsidP="000E2568">
      <w:pPr>
        <w:pStyle w:val="ListParagraph"/>
      </w:pPr>
      <w:r w:rsidRPr="0029304B">
        <w:t>Mobile apps should be set up to provide live information on available parking spaces and information on parking fees.</w:t>
      </w:r>
      <w:r w:rsidR="00A967BF">
        <w:t xml:space="preserve"> </w:t>
      </w:r>
    </w:p>
    <w:p w14:paraId="098AD81E" w14:textId="77777777" w:rsidR="00E230F4" w:rsidRPr="0029304B" w:rsidRDefault="000E2568" w:rsidP="00E230F4">
      <w:r w:rsidRPr="0029304B">
        <w:lastRenderedPageBreak/>
        <w:t xml:space="preserve">Parking enforcement should be improved by monitoring </w:t>
      </w:r>
      <w:r w:rsidR="00BE48FA" w:rsidRPr="0029304B">
        <w:t xml:space="preserve">of </w:t>
      </w:r>
      <w:r w:rsidRPr="0029304B">
        <w:t xml:space="preserve">enforcement officers using an IT-based system. Through this system, the </w:t>
      </w:r>
      <w:r w:rsidR="00BE48FA" w:rsidRPr="0029304B">
        <w:t>local authority can</w:t>
      </w:r>
      <w:r w:rsidRPr="0029304B">
        <w:t xml:space="preserve"> receive regular parking enforcement updates including number of vehicles checked, payment status, and information on completed enforcement activities. A GPS based system can be used to track individual parking attendants against a minimum number of vehicles that should be checked per hour. Vehicles parked on NMT or any other non-parking zones should be </w:t>
      </w:r>
      <w:proofErr w:type="gramStart"/>
      <w:r w:rsidRPr="0029304B">
        <w:t>clamped</w:t>
      </w:r>
      <w:proofErr w:type="gramEnd"/>
      <w:r w:rsidRPr="0029304B">
        <w:t xml:space="preserve"> and heavy penalties imposed.</w:t>
      </w:r>
    </w:p>
    <w:p w14:paraId="3BEB7045" w14:textId="3A29BCB8" w:rsidR="000E2568" w:rsidRPr="0029304B" w:rsidRDefault="00E230F4" w:rsidP="000E2568">
      <w:r w:rsidRPr="0029304B">
        <w:t>Parking management system can be introduced along busy c</w:t>
      </w:r>
      <w:r w:rsidR="005D24E9">
        <w:t>ommercial streets in key cities</w:t>
      </w:r>
      <w:r w:rsidRPr="0029304B">
        <w:t>. A study for each city would be required prior to implementation to assess the current level of demand and inform the parking fee levels.</w:t>
      </w:r>
    </w:p>
    <w:tbl>
      <w:tblPr>
        <w:tblW w:w="0" w:type="auto"/>
        <w:shd w:val="clear" w:color="auto" w:fill="FCE7BE" w:themeFill="accent2" w:themeFillTint="66"/>
        <w:tblCellMar>
          <w:top w:w="113" w:type="dxa"/>
          <w:bottom w:w="113" w:type="dxa"/>
        </w:tblCellMar>
        <w:tblLook w:val="04A0" w:firstRow="1" w:lastRow="0" w:firstColumn="1" w:lastColumn="0" w:noHBand="0" w:noVBand="1"/>
      </w:tblPr>
      <w:tblGrid>
        <w:gridCol w:w="9020"/>
      </w:tblGrid>
      <w:tr w:rsidR="000E2568" w:rsidRPr="0029304B" w14:paraId="73FC1A73" w14:textId="77777777" w:rsidTr="00857054">
        <w:tc>
          <w:tcPr>
            <w:tcW w:w="9020" w:type="dxa"/>
            <w:shd w:val="clear" w:color="auto" w:fill="FCE7BE" w:themeFill="accent2" w:themeFillTint="66"/>
          </w:tcPr>
          <w:p w14:paraId="523EDECF" w14:textId="03222BE0" w:rsidR="000E2568" w:rsidRPr="0029304B" w:rsidRDefault="003E1225" w:rsidP="00456880">
            <w:pPr>
              <w:pStyle w:val="Boxheader"/>
            </w:pPr>
            <w:r>
              <w:t xml:space="preserve"> </w:t>
            </w:r>
            <w:r w:rsidR="000E2568" w:rsidRPr="0029304B">
              <w:t>Key actions</w:t>
            </w:r>
          </w:p>
          <w:p w14:paraId="50F67993" w14:textId="77777777" w:rsidR="000E2568" w:rsidRPr="0029304B" w:rsidRDefault="000E2568" w:rsidP="006B41F2">
            <w:pPr>
              <w:numPr>
                <w:ilvl w:val="0"/>
                <w:numId w:val="7"/>
              </w:numPr>
            </w:pPr>
            <w:r w:rsidRPr="0029304B">
              <w:t>Introduce IT-based on-street parking management system</w:t>
            </w:r>
            <w:r w:rsidR="00456880" w:rsidRPr="0029304B">
              <w:t>s</w:t>
            </w:r>
            <w:r w:rsidRPr="0029304B">
              <w:t xml:space="preserve"> with demand-based fees.</w:t>
            </w:r>
          </w:p>
          <w:p w14:paraId="1AA2D618" w14:textId="77777777" w:rsidR="00C6375B" w:rsidRPr="0029304B" w:rsidRDefault="00C6375B" w:rsidP="006B41F2">
            <w:pPr>
              <w:numPr>
                <w:ilvl w:val="0"/>
                <w:numId w:val="7"/>
              </w:numPr>
            </w:pPr>
            <w:r w:rsidRPr="0029304B">
              <w:t>Install bollards to prevent parking encroachments on footpaths.</w:t>
            </w:r>
          </w:p>
        </w:tc>
      </w:tr>
    </w:tbl>
    <w:p w14:paraId="298FB5C6" w14:textId="77777777" w:rsidR="00C6375B" w:rsidRPr="0029304B" w:rsidRDefault="00C6375B" w:rsidP="00C6375B">
      <w:bookmarkStart w:id="98" w:name="_Toc513831970"/>
      <w:bookmarkStart w:id="99" w:name="_Toc526259626"/>
    </w:p>
    <w:p w14:paraId="093D3A7C" w14:textId="77777777" w:rsidR="000E2568" w:rsidRPr="0029304B" w:rsidRDefault="000E2568" w:rsidP="000E2568">
      <w:pPr>
        <w:pStyle w:val="Heading2"/>
        <w:numPr>
          <w:ilvl w:val="1"/>
          <w:numId w:val="1"/>
        </w:numPr>
        <w:rPr>
          <w:lang w:val="en-GB"/>
        </w:rPr>
      </w:pPr>
      <w:bookmarkStart w:id="100" w:name="_Toc7200520"/>
      <w:r w:rsidRPr="0029304B">
        <w:rPr>
          <w:lang w:val="en-GB"/>
        </w:rPr>
        <w:t>Vendor management</w:t>
      </w:r>
      <w:bookmarkEnd w:id="98"/>
      <w:bookmarkEnd w:id="99"/>
      <w:bookmarkEnd w:id="100"/>
    </w:p>
    <w:p w14:paraId="0CF95A73" w14:textId="55D1F936" w:rsidR="000E2568" w:rsidRPr="0029304B" w:rsidRDefault="000E2568" w:rsidP="000E2568">
      <w:r w:rsidRPr="0029304B">
        <w:t xml:space="preserve">Street vending not only </w:t>
      </w:r>
      <w:r w:rsidR="008F00AB">
        <w:t>employs</w:t>
      </w:r>
      <w:r w:rsidRPr="0029304B">
        <w:t xml:space="preserve"> many urban </w:t>
      </w:r>
      <w:r w:rsidR="008F00AB">
        <w:t>residents</w:t>
      </w:r>
      <w:r w:rsidR="006E7C69">
        <w:rPr>
          <w:color w:val="000000" w:themeColor="text1"/>
        </w:rPr>
        <w:t xml:space="preserve"> </w:t>
      </w:r>
      <w:r w:rsidRPr="0029304B">
        <w:t xml:space="preserve">but also </w:t>
      </w:r>
      <w:r w:rsidR="008F00AB">
        <w:t xml:space="preserve">is </w:t>
      </w:r>
      <w:r w:rsidRPr="0029304B">
        <w:t>an important function in an urban street environment. Street vending makes street</w:t>
      </w:r>
      <w:r w:rsidR="008030E5" w:rsidRPr="0029304B">
        <w:t>s</w:t>
      </w:r>
      <w:r w:rsidRPr="0029304B">
        <w:t xml:space="preserve"> vibrant and safer for pedestrians, </w:t>
      </w:r>
      <w:r w:rsidR="008F00AB">
        <w:t>offering</w:t>
      </w:r>
      <w:r w:rsidRPr="0029304B">
        <w:t xml:space="preserve"> essential goods and services as </w:t>
      </w:r>
      <w:r w:rsidR="008F00AB">
        <w:t>people</w:t>
      </w:r>
      <w:r w:rsidRPr="0029304B">
        <w:t xml:space="preserve"> walk to their destinations. </w:t>
      </w:r>
    </w:p>
    <w:p w14:paraId="435CE827" w14:textId="5FF2E695" w:rsidR="000E2568" w:rsidRPr="0029304B" w:rsidRDefault="000E2568" w:rsidP="000E2568">
      <w:r w:rsidRPr="0029304B">
        <w:t xml:space="preserve">Dedicated vending spaces on city streets should be </w:t>
      </w:r>
      <w:r w:rsidR="00F170A6">
        <w:t xml:space="preserve">identified and </w:t>
      </w:r>
      <w:r w:rsidRPr="0029304B">
        <w:t xml:space="preserve">clearly marked. </w:t>
      </w:r>
      <w:r w:rsidR="00F170A6">
        <w:t xml:space="preserve">Some vending zones can be time-based, with streets closed to motorised traffic at certain times of the day or certain days of the week. </w:t>
      </w:r>
      <w:r w:rsidR="008030E5" w:rsidRPr="0029304B">
        <w:t>Local authorities</w:t>
      </w:r>
      <w:r w:rsidRPr="0029304B">
        <w:t xml:space="preserve"> can issue licenses to street vendors, set standards for vending stands, and monitor the upkeep of vending areas. </w:t>
      </w:r>
      <w:r w:rsidR="008030E5" w:rsidRPr="0029304B">
        <w:t>Local authorities</w:t>
      </w:r>
      <w:r w:rsidRPr="0029304B">
        <w:t xml:space="preserve"> should provide waste disposal bins and constant enforcement to ensure that vendors keep their spaces clean and they do not encroach on pedestrian zone. </w:t>
      </w:r>
      <w:r w:rsidR="008030E5" w:rsidRPr="0029304B">
        <w:t xml:space="preserve">Local authorities </w:t>
      </w:r>
      <w:r w:rsidRPr="0029304B">
        <w:t xml:space="preserve">should encourage vendors to form associations to facilitate </w:t>
      </w:r>
      <w:r w:rsidR="008030E5" w:rsidRPr="0029304B">
        <w:t>management</w:t>
      </w:r>
      <w:r w:rsidRPr="0029304B">
        <w:t xml:space="preserve">. </w:t>
      </w:r>
    </w:p>
    <w:tbl>
      <w:tblPr>
        <w:tblW w:w="0" w:type="auto"/>
        <w:shd w:val="clear" w:color="auto" w:fill="FCE7BE" w:themeFill="accent2" w:themeFillTint="66"/>
        <w:tblCellMar>
          <w:top w:w="113" w:type="dxa"/>
          <w:bottom w:w="113" w:type="dxa"/>
        </w:tblCellMar>
        <w:tblLook w:val="04A0" w:firstRow="1" w:lastRow="0" w:firstColumn="1" w:lastColumn="0" w:noHBand="0" w:noVBand="1"/>
      </w:tblPr>
      <w:tblGrid>
        <w:gridCol w:w="9020"/>
      </w:tblGrid>
      <w:tr w:rsidR="000E2568" w:rsidRPr="0029304B" w14:paraId="0C054BA2" w14:textId="77777777" w:rsidTr="00857054">
        <w:tc>
          <w:tcPr>
            <w:tcW w:w="9020" w:type="dxa"/>
            <w:shd w:val="clear" w:color="auto" w:fill="FCE7BE" w:themeFill="accent2" w:themeFillTint="66"/>
          </w:tcPr>
          <w:p w14:paraId="5E42FF2D" w14:textId="597B1628" w:rsidR="000E2568" w:rsidRPr="0029304B" w:rsidRDefault="003E1225" w:rsidP="00456880">
            <w:pPr>
              <w:pStyle w:val="Boxheader"/>
            </w:pPr>
            <w:r>
              <w:t xml:space="preserve"> </w:t>
            </w:r>
            <w:r w:rsidR="000E2568" w:rsidRPr="0029304B">
              <w:t>Key actions</w:t>
            </w:r>
          </w:p>
          <w:p w14:paraId="4B444779" w14:textId="77777777" w:rsidR="000E2568" w:rsidRPr="0029304B" w:rsidRDefault="008030E5" w:rsidP="00857054">
            <w:pPr>
              <w:pStyle w:val="ListParagraph"/>
            </w:pPr>
            <w:r w:rsidRPr="0029304B">
              <w:t>Work with vendors to form vending</w:t>
            </w:r>
            <w:r w:rsidR="000E2568" w:rsidRPr="0029304B">
              <w:t xml:space="preserve"> </w:t>
            </w:r>
            <w:r w:rsidR="00456880" w:rsidRPr="0029304B">
              <w:t>associations.</w:t>
            </w:r>
          </w:p>
          <w:p w14:paraId="1576DCE7" w14:textId="29350E24" w:rsidR="000E2568" w:rsidRPr="0029304B" w:rsidRDefault="000E2568" w:rsidP="00857054">
            <w:pPr>
              <w:pStyle w:val="ListParagraph"/>
            </w:pPr>
            <w:r w:rsidRPr="0029304B">
              <w:t>Launch street vending management program</w:t>
            </w:r>
            <w:r w:rsidR="00456880" w:rsidRPr="0029304B">
              <w:t>s</w:t>
            </w:r>
            <w:r w:rsidR="003B41A2" w:rsidRPr="0029304B">
              <w:t xml:space="preserve"> to facilitate the orderly reintroduct</w:t>
            </w:r>
            <w:r w:rsidR="005516DB">
              <w:t>ion of street vending in [COUNTRY]</w:t>
            </w:r>
            <w:r w:rsidR="003B41A2" w:rsidRPr="0029304B">
              <w:t xml:space="preserve"> cities</w:t>
            </w:r>
            <w:r w:rsidR="00456880" w:rsidRPr="0029304B">
              <w:t>.</w:t>
            </w:r>
          </w:p>
        </w:tc>
      </w:tr>
    </w:tbl>
    <w:p w14:paraId="423344CB" w14:textId="77777777" w:rsidR="000E2568" w:rsidRPr="0029304B" w:rsidRDefault="000E2568" w:rsidP="000E2568"/>
    <w:p w14:paraId="43E2E967" w14:textId="77777777" w:rsidR="000E2568" w:rsidRPr="0029304B" w:rsidRDefault="000E2568" w:rsidP="000E2568">
      <w:pPr>
        <w:pStyle w:val="Heading2"/>
        <w:numPr>
          <w:ilvl w:val="1"/>
          <w:numId w:val="1"/>
        </w:numPr>
        <w:rPr>
          <w:lang w:val="en-GB"/>
        </w:rPr>
      </w:pPr>
      <w:bookmarkStart w:id="101" w:name="_Toc513831971"/>
      <w:bookmarkStart w:id="102" w:name="_Toc526259627"/>
      <w:bookmarkStart w:id="103" w:name="_Toc7200521"/>
      <w:r w:rsidRPr="0029304B">
        <w:rPr>
          <w:lang w:val="en-GB"/>
        </w:rPr>
        <w:t xml:space="preserve">Communications and </w:t>
      </w:r>
      <w:bookmarkEnd w:id="101"/>
      <w:bookmarkEnd w:id="102"/>
      <w:r w:rsidR="00C6375B" w:rsidRPr="0029304B">
        <w:rPr>
          <w:lang w:val="en-GB"/>
        </w:rPr>
        <w:t>outreach</w:t>
      </w:r>
      <w:bookmarkEnd w:id="103"/>
    </w:p>
    <w:p w14:paraId="7320DD18" w14:textId="77777777" w:rsidR="00C01F52" w:rsidRPr="0029304B" w:rsidRDefault="00C01F52" w:rsidP="00C01F52">
      <w:r w:rsidRPr="0029304B">
        <w:t>Communications and engagement activities will play a key role in building public support for the NMT Strategy. Effective messaging about NMT and public activities can build enthusiasm for NMT use and can begin to foster a changed culture that accepts walking and cycling as integral modes of transport. In addition, participation of local residents, businesses, and other stakeholders in the planning and design of streets can help improve transparency and foster the community’s active use and sense of ownership of public spaces. Communications and outreach activities can include the following:</w:t>
      </w:r>
    </w:p>
    <w:p w14:paraId="4ECEE943" w14:textId="77777777" w:rsidR="00C01F52" w:rsidRPr="0029304B" w:rsidRDefault="00C01F52" w:rsidP="006B41F2">
      <w:pPr>
        <w:pStyle w:val="ListParagraph"/>
        <w:numPr>
          <w:ilvl w:val="0"/>
          <w:numId w:val="13"/>
        </w:numPr>
      </w:pPr>
      <w:r w:rsidRPr="0029304B">
        <w:rPr>
          <w:b/>
          <w:bCs/>
        </w:rPr>
        <w:lastRenderedPageBreak/>
        <w:t>Open streets events</w:t>
      </w:r>
      <w:r w:rsidRPr="0029304B">
        <w:t xml:space="preserve"> can help introduce the idea of streets as spaces that provide equitable access for all users. During such events, where private motor vehicles are temporarily </w:t>
      </w:r>
      <w:proofErr w:type="gramStart"/>
      <w:r w:rsidRPr="0029304B">
        <w:t>banned</w:t>
      </w:r>
      <w:proofErr w:type="gramEnd"/>
      <w:r w:rsidRPr="0029304B">
        <w:t xml:space="preserve"> and streets are opened for exclusive access by pedestrians and cyclists. Programmed activities during open streets events can include health and fitness activities, dance classes, bicycle maintenance clinics, inclusive recreation, and arts activities.</w:t>
      </w:r>
    </w:p>
    <w:p w14:paraId="72D79FCE" w14:textId="77777777" w:rsidR="00C01F52" w:rsidRPr="0029304B" w:rsidRDefault="00C01F52" w:rsidP="006B41F2">
      <w:pPr>
        <w:pStyle w:val="ListParagraph"/>
        <w:numPr>
          <w:ilvl w:val="0"/>
          <w:numId w:val="13"/>
        </w:numPr>
      </w:pPr>
      <w:r w:rsidRPr="0029304B">
        <w:rPr>
          <w:b/>
          <w:bCs/>
        </w:rPr>
        <w:t>Marketing campaigns</w:t>
      </w:r>
      <w:r w:rsidRPr="0029304B">
        <w:t xml:space="preserve"> can raise the profile of walking and cycling, encourage usage of the city's bicycle sharing system, and encourage safe driving among motor vehicle drivers. To reach a diverse audience, such campaigns should make use of multiple channels, including television, radio, print media, and social media.</w:t>
      </w:r>
    </w:p>
    <w:p w14:paraId="551A9453" w14:textId="77777777" w:rsidR="00C01F52" w:rsidRPr="0029304B" w:rsidRDefault="00C01F52" w:rsidP="006B41F2">
      <w:pPr>
        <w:pStyle w:val="ListParagraph"/>
        <w:numPr>
          <w:ilvl w:val="0"/>
          <w:numId w:val="13"/>
        </w:numPr>
      </w:pPr>
      <w:r w:rsidRPr="0029304B">
        <w:rPr>
          <w:b/>
          <w:bCs/>
        </w:rPr>
        <w:t>Cycle trainings</w:t>
      </w:r>
      <w:r w:rsidRPr="0029304B">
        <w:t xml:space="preserve"> can introduce safe cycling techniques and encourage ridership among new users, especially women and youth. </w:t>
      </w:r>
    </w:p>
    <w:p w14:paraId="77B922F8" w14:textId="77777777" w:rsidR="00C01F52" w:rsidRPr="0029304B" w:rsidRDefault="00C01F52" w:rsidP="006B41F2">
      <w:pPr>
        <w:pStyle w:val="ListParagraph"/>
        <w:numPr>
          <w:ilvl w:val="0"/>
          <w:numId w:val="13"/>
        </w:numPr>
      </w:pPr>
      <w:r w:rsidRPr="0029304B">
        <w:rPr>
          <w:b/>
          <w:bCs/>
        </w:rPr>
        <w:t>Sustainable commuting days</w:t>
      </w:r>
      <w:r w:rsidRPr="0029304B">
        <w:t xml:space="preserve"> for </w:t>
      </w:r>
      <w:r w:rsidR="00C97486" w:rsidRPr="0029304B">
        <w:t>government</w:t>
      </w:r>
      <w:r w:rsidRPr="0029304B">
        <w:t xml:space="preserve"> staff </w:t>
      </w:r>
      <w:r w:rsidR="00C97486" w:rsidRPr="0029304B">
        <w:t>can</w:t>
      </w:r>
      <w:r w:rsidRPr="0029304B">
        <w:t xml:space="preserve"> expose city engineers and planners to issues faced by NMT and public transport users and will give an opportunity for staff to </w:t>
      </w:r>
      <w:r w:rsidR="00C97486" w:rsidRPr="0029304B">
        <w:t>“l</w:t>
      </w:r>
      <w:r w:rsidRPr="0029304B">
        <w:t>ead by example.</w:t>
      </w:r>
      <w:r w:rsidR="00C97486" w:rsidRPr="0029304B">
        <w:t>”</w:t>
      </w:r>
    </w:p>
    <w:p w14:paraId="147F76BD" w14:textId="77777777" w:rsidR="00C01F52" w:rsidRPr="0029304B" w:rsidRDefault="00C01F52" w:rsidP="006B41F2">
      <w:pPr>
        <w:pStyle w:val="ListParagraph"/>
        <w:numPr>
          <w:ilvl w:val="0"/>
          <w:numId w:val="13"/>
        </w:numPr>
      </w:pPr>
      <w:r w:rsidRPr="0029304B">
        <w:rPr>
          <w:b/>
          <w:bCs/>
        </w:rPr>
        <w:t>Use of bicycles by city officials</w:t>
      </w:r>
      <w:r w:rsidRPr="0029304B">
        <w:t xml:space="preserve">, including </w:t>
      </w:r>
      <w:r w:rsidR="00C97486" w:rsidRPr="0029304B">
        <w:t>the police</w:t>
      </w:r>
      <w:r w:rsidRPr="0029304B">
        <w:t xml:space="preserve">, </w:t>
      </w:r>
      <w:r w:rsidR="00C97486" w:rsidRPr="0029304B">
        <w:t>can</w:t>
      </w:r>
      <w:r w:rsidRPr="0029304B">
        <w:t xml:space="preserve"> help change the image of cycling.</w:t>
      </w:r>
    </w:p>
    <w:p w14:paraId="78FAE0D6" w14:textId="6C301115" w:rsidR="000E2568" w:rsidRPr="0029304B" w:rsidRDefault="00C01F52" w:rsidP="006B41F2">
      <w:pPr>
        <w:pStyle w:val="ListParagraph"/>
        <w:numPr>
          <w:ilvl w:val="0"/>
          <w:numId w:val="13"/>
        </w:numPr>
      </w:pPr>
      <w:r w:rsidRPr="0029304B">
        <w:rPr>
          <w:b/>
          <w:bCs/>
        </w:rPr>
        <w:t>Participatory planning activities</w:t>
      </w:r>
      <w:r w:rsidRPr="0029304B">
        <w:t xml:space="preserve"> will give community members a chance to offer input on plans and designs for NMT projects. </w:t>
      </w:r>
      <w:r w:rsidR="00C97486" w:rsidRPr="0029304B">
        <w:t xml:space="preserve">The </w:t>
      </w:r>
      <w:r w:rsidR="008F5C52" w:rsidRPr="008F5C52">
        <w:t>[COUNTRY]</w:t>
      </w:r>
      <w:r w:rsidR="008F5C52" w:rsidRPr="0029304B">
        <w:t xml:space="preserve"> will</w:t>
      </w:r>
      <w:r w:rsidRPr="0029304B">
        <w:t xml:space="preserve"> adopt an open data policy to improve access to information.</w:t>
      </w:r>
      <w:r w:rsidR="00526905" w:rsidRPr="0029304B">
        <w:t xml:space="preserve"> Stakeholder engagement should call on even non-NMT users to contribute to and support the implementation of the Strategy because the social and environmental benefits of NMT go beyond the direct benefits to the users themselves.</w:t>
      </w:r>
    </w:p>
    <w:p w14:paraId="6DBA73F7" w14:textId="3B1F1D91" w:rsidR="000E2568" w:rsidRPr="0029304B" w:rsidRDefault="00D933C4" w:rsidP="00D85E83">
      <w:pPr>
        <w:pStyle w:val="ListParagraph"/>
        <w:numPr>
          <w:ilvl w:val="0"/>
          <w:numId w:val="13"/>
        </w:numPr>
      </w:pPr>
      <w:r w:rsidRPr="0029304B">
        <w:rPr>
          <w:b/>
        </w:rPr>
        <w:t>NMT award for local authorities:</w:t>
      </w:r>
      <w:r w:rsidRPr="0029304B">
        <w:t xml:space="preserve"> The</w:t>
      </w:r>
      <w:r w:rsidR="008F5C52" w:rsidRPr="008F5C52">
        <w:t xml:space="preserve"> [COUNTRY]</w:t>
      </w:r>
      <w:r w:rsidRPr="0029304B">
        <w:t xml:space="preserve"> can organise an annual NMT Award for the best performing city or town with respect to the planning, implementation, and maintenance of NMT facilities.</w:t>
      </w:r>
    </w:p>
    <w:p w14:paraId="24FFBDAC" w14:textId="77777777" w:rsidR="000E2568" w:rsidRPr="0029304B" w:rsidRDefault="000E2568" w:rsidP="000E2568"/>
    <w:tbl>
      <w:tblPr>
        <w:tblW w:w="0" w:type="auto"/>
        <w:shd w:val="clear" w:color="auto" w:fill="FDF3DE" w:themeFill="accent2" w:themeFillTint="33"/>
        <w:tblCellMar>
          <w:top w:w="113" w:type="dxa"/>
          <w:bottom w:w="113" w:type="dxa"/>
        </w:tblCellMar>
        <w:tblLook w:val="04A0" w:firstRow="1" w:lastRow="0" w:firstColumn="1" w:lastColumn="0" w:noHBand="0" w:noVBand="1"/>
      </w:tblPr>
      <w:tblGrid>
        <w:gridCol w:w="9020"/>
      </w:tblGrid>
      <w:tr w:rsidR="000E2568" w:rsidRPr="0029304B" w14:paraId="6E92F3EA" w14:textId="77777777" w:rsidTr="00857054">
        <w:tc>
          <w:tcPr>
            <w:tcW w:w="9020" w:type="dxa"/>
            <w:shd w:val="clear" w:color="auto" w:fill="FDF3DE" w:themeFill="accent2" w:themeFillTint="33"/>
          </w:tcPr>
          <w:p w14:paraId="021C3B8A" w14:textId="77777777" w:rsidR="000E2568" w:rsidRPr="0029304B" w:rsidRDefault="000E2568" w:rsidP="00A42185">
            <w:pPr>
              <w:pStyle w:val="Boxheader"/>
            </w:pPr>
            <w:r w:rsidRPr="0029304B">
              <w:t>Key actions</w:t>
            </w:r>
          </w:p>
          <w:p w14:paraId="1024DEA0" w14:textId="6A3A9474" w:rsidR="000E2568" w:rsidRPr="0029304B" w:rsidRDefault="000E2568" w:rsidP="008F5C52">
            <w:pPr>
              <w:pStyle w:val="ListParagraph"/>
            </w:pPr>
            <w:r w:rsidRPr="0029304B">
              <w:t>Launch car-free day on at leas</w:t>
            </w:r>
            <w:r w:rsidR="008F5C52">
              <w:t>t one Sunday per month in</w:t>
            </w:r>
            <w:r w:rsidR="008F5C52" w:rsidRPr="008F5C52">
              <w:t xml:space="preserve"> [COUNTRY]</w:t>
            </w:r>
            <w:r w:rsidR="006310C7" w:rsidRPr="0029304B">
              <w:t xml:space="preserve"> cities</w:t>
            </w:r>
            <w:r w:rsidRPr="0029304B">
              <w:t>.</w:t>
            </w:r>
          </w:p>
          <w:p w14:paraId="7F975FD9" w14:textId="77777777" w:rsidR="000E2568" w:rsidRDefault="000E2568" w:rsidP="00857054">
            <w:pPr>
              <w:pStyle w:val="ListParagraph"/>
            </w:pPr>
            <w:r w:rsidRPr="0029304B">
              <w:t xml:space="preserve">Launch monthly sustainable commuting (walking, cycling or public transport) day for </w:t>
            </w:r>
            <w:r w:rsidR="008D3261" w:rsidRPr="0029304B">
              <w:t>national government and local authority staff</w:t>
            </w:r>
            <w:r w:rsidRPr="0029304B">
              <w:t>.</w:t>
            </w:r>
          </w:p>
          <w:p w14:paraId="717D4A29" w14:textId="2C9A2440" w:rsidR="00A42185" w:rsidRPr="0029304B" w:rsidRDefault="00A42185" w:rsidP="00857054">
            <w:pPr>
              <w:pStyle w:val="ListParagraph"/>
            </w:pPr>
            <w:r>
              <w:t>Restart reporting of road safety data to the World Health Organisation.</w:t>
            </w:r>
          </w:p>
        </w:tc>
      </w:tr>
    </w:tbl>
    <w:p w14:paraId="16A43CF0" w14:textId="77777777" w:rsidR="000E2568" w:rsidRPr="0029304B" w:rsidRDefault="000E2568" w:rsidP="000E2568"/>
    <w:p w14:paraId="35C29071" w14:textId="77777777" w:rsidR="000E2568" w:rsidRPr="0029304B" w:rsidRDefault="000E2568" w:rsidP="000E2568">
      <w:pPr>
        <w:pStyle w:val="Heading2"/>
        <w:numPr>
          <w:ilvl w:val="1"/>
          <w:numId w:val="1"/>
        </w:numPr>
        <w:rPr>
          <w:lang w:val="en-GB"/>
        </w:rPr>
      </w:pPr>
      <w:bookmarkStart w:id="104" w:name="_Toc526259628"/>
      <w:bookmarkStart w:id="105" w:name="_Toc7200522"/>
      <w:r w:rsidRPr="0029304B">
        <w:rPr>
          <w:lang w:val="en-GB"/>
        </w:rPr>
        <w:t>Review of building control &amp; planning regulations</w:t>
      </w:r>
      <w:bookmarkEnd w:id="104"/>
      <w:bookmarkEnd w:id="105"/>
    </w:p>
    <w:p w14:paraId="042BFCF2" w14:textId="77777777" w:rsidR="006310C7" w:rsidRPr="0029304B" w:rsidRDefault="006310C7" w:rsidP="006310C7">
      <w:pPr>
        <w:rPr>
          <w:lang w:bidi="gu-IN"/>
        </w:rPr>
      </w:pPr>
      <w:r w:rsidRPr="0029304B">
        <w:rPr>
          <w:lang w:bidi="gu-IN"/>
        </w:rPr>
        <w:t>The built environment surrounding pedestrian routes must be conducive to walking. Walking is safer and more enjoyable when sidewalks are populated, animated, and lined with useful ground-floor activities such as store fronts and restaurants. In turn, being closer to passing pedestrians and cyclists increases the exposure and vitality of local retail, bringing significant economic benefits.</w:t>
      </w:r>
    </w:p>
    <w:p w14:paraId="269384BE" w14:textId="77777777" w:rsidR="006310C7" w:rsidRPr="0029304B" w:rsidRDefault="006310C7" w:rsidP="006310C7">
      <w:pPr>
        <w:rPr>
          <w:lang w:bidi="gu-IN"/>
        </w:rPr>
      </w:pPr>
      <w:r w:rsidRPr="0029304B">
        <w:rPr>
          <w:lang w:bidi="gu-IN"/>
        </w:rPr>
        <w:t xml:space="preserve">Architectural design elements such as building setbacks, the ratio of building height to street width, and the articulation and permeability of building-street interface (i.e., the number of doors and windows) have a major impact on the quality and safety of pedestrian spaces. Blank compound walls isolate the street from private uses and contribute to unsafe conditions for pedestrians. Similarly, </w:t>
      </w:r>
      <w:r w:rsidRPr="0029304B">
        <w:rPr>
          <w:lang w:bidi="gu-IN"/>
        </w:rPr>
        <w:lastRenderedPageBreak/>
        <w:t>parking setbacks diminish the connection between pedestrian activity on a footpath and activity inside adjacent buildings. They also increase the risk of parking encroachments on footpaths. Building control regulations should be updated to ensure that private developments contribute to the public realm rather than functioning as isolated islands of activity.</w:t>
      </w:r>
    </w:p>
    <w:p w14:paraId="045822AD" w14:textId="1F3B042F" w:rsidR="006310C7" w:rsidRPr="0029304B" w:rsidRDefault="006310C7" w:rsidP="006310C7">
      <w:pPr>
        <w:rPr>
          <w:lang w:bidi="gu-IN"/>
        </w:rPr>
      </w:pPr>
      <w:r w:rsidRPr="0029304B">
        <w:rPr>
          <w:lang w:bidi="gu-IN"/>
        </w:rPr>
        <w:t>Besides active façades, another key to mobility for NMT users is a high ratio of intersection nodes to road links so that streets and pathways are well connected. The maximum recommended block size for p</w:t>
      </w:r>
      <w:r w:rsidR="00CE4906">
        <w:rPr>
          <w:lang w:bidi="gu-IN"/>
        </w:rPr>
        <w:t>eople friendly streets is 100 m.</w:t>
      </w:r>
      <w:r w:rsidRPr="0029304B">
        <w:rPr>
          <w:lang w:bidi="gu-IN"/>
        </w:rPr>
        <w:t xml:space="preserve"> Prioritised connectivity creates finer grained networks for walking, including pedestrian-only streets. A fine-grained walking and cycling network </w:t>
      </w:r>
      <w:proofErr w:type="gramStart"/>
      <w:r w:rsidRPr="0029304B">
        <w:rPr>
          <w:lang w:bidi="gu-IN"/>
        </w:rPr>
        <w:t>helps</w:t>
      </w:r>
      <w:proofErr w:type="gramEnd"/>
      <w:r w:rsidRPr="0029304B">
        <w:rPr>
          <w:lang w:bidi="gu-IN"/>
        </w:rPr>
        <w:t xml:space="preserve"> to reduce trip distances and improves access to public transport.</w:t>
      </w:r>
    </w:p>
    <w:p w14:paraId="4436FC6C" w14:textId="77777777" w:rsidR="006310C7" w:rsidRPr="0029304B" w:rsidRDefault="006310C7" w:rsidP="006310C7">
      <w:pPr>
        <w:rPr>
          <w:lang w:bidi="gu-IN"/>
        </w:rPr>
      </w:pPr>
      <w:r w:rsidRPr="0029304B">
        <w:rPr>
          <w:lang w:bidi="gu-IN"/>
        </w:rPr>
        <w:t>Land use policies should encourage transit-oriented development (TOD) within walking distance (i.e., 500 m) of mass rapid transit lines. TOD policies can include affordable housing mandates, incentives for mixed use, and restrictions on off-street parking. All of these principles should be taken into account when preparing layouts and designs for condominium projects.</w:t>
      </w:r>
    </w:p>
    <w:tbl>
      <w:tblPr>
        <w:tblpPr w:leftFromText="180" w:rightFromText="180" w:vertAnchor="text" w:horzAnchor="margin" w:tblpY="14"/>
        <w:tblW w:w="0" w:type="auto"/>
        <w:shd w:val="clear" w:color="auto" w:fill="FDF3DE" w:themeFill="accent2" w:themeFillTint="33"/>
        <w:tblCellMar>
          <w:top w:w="113" w:type="dxa"/>
          <w:bottom w:w="113" w:type="dxa"/>
        </w:tblCellMar>
        <w:tblLook w:val="04A0" w:firstRow="1" w:lastRow="0" w:firstColumn="1" w:lastColumn="0" w:noHBand="0" w:noVBand="1"/>
      </w:tblPr>
      <w:tblGrid>
        <w:gridCol w:w="9020"/>
      </w:tblGrid>
      <w:tr w:rsidR="00672A37" w:rsidRPr="0029304B" w14:paraId="4678E432" w14:textId="77777777" w:rsidTr="00672A37">
        <w:tc>
          <w:tcPr>
            <w:tcW w:w="9020" w:type="dxa"/>
            <w:shd w:val="clear" w:color="auto" w:fill="FDF3DE" w:themeFill="accent2" w:themeFillTint="33"/>
          </w:tcPr>
          <w:p w14:paraId="0F0FB4ED" w14:textId="1FD5AF63" w:rsidR="00672A37" w:rsidRPr="0029304B" w:rsidRDefault="00672A37" w:rsidP="00672A37">
            <w:pPr>
              <w:pStyle w:val="Boxheader"/>
            </w:pPr>
            <w:r w:rsidRPr="0029304B">
              <w:t>Key actions</w:t>
            </w:r>
          </w:p>
          <w:p w14:paraId="689C9786" w14:textId="77777777" w:rsidR="00672A37" w:rsidRPr="0029304B" w:rsidRDefault="00672A37" w:rsidP="00672A37">
            <w:pPr>
              <w:pStyle w:val="ListParagraph"/>
            </w:pPr>
            <w:r w:rsidRPr="0029304B">
              <w:rPr>
                <w:b/>
              </w:rPr>
              <w:t>Building control policies and regulations</w:t>
            </w:r>
            <w:r w:rsidRPr="0029304B">
              <w:t>: Each local authority should review building control policies and regulations to promote active frontage; minimise setback requirements; open setback spaces for pedestrian access; include arcades along commercial streets; and limit block size to 100 m for all future development projects.</w:t>
            </w:r>
          </w:p>
          <w:p w14:paraId="5A6DEF0E" w14:textId="77777777" w:rsidR="00672A37" w:rsidRPr="0029304B" w:rsidRDefault="00672A37" w:rsidP="00672A37">
            <w:pPr>
              <w:pStyle w:val="ListParagraph"/>
            </w:pPr>
            <w:r w:rsidRPr="0029304B">
              <w:rPr>
                <w:b/>
              </w:rPr>
              <w:t>Land use policies:</w:t>
            </w:r>
            <w:r w:rsidRPr="0029304B">
              <w:t xml:space="preserve"> Land use policies should be revised to promote high density, compact developments within 500m of existing and planned BRT corridors. TOD elements will include affordable housing, higher densities, and maximum off-street parking limits.</w:t>
            </w:r>
          </w:p>
        </w:tc>
      </w:tr>
    </w:tbl>
    <w:p w14:paraId="0E499978" w14:textId="77777777" w:rsidR="0017188B" w:rsidRPr="0017188B" w:rsidRDefault="0017188B" w:rsidP="0017188B">
      <w:bookmarkStart w:id="106" w:name="_Toc513803086"/>
    </w:p>
    <w:p w14:paraId="7232203C" w14:textId="77777777" w:rsidR="00CE4906" w:rsidRDefault="00CE4906" w:rsidP="00F15B64"/>
    <w:p w14:paraId="080B9B02" w14:textId="28D7FC72" w:rsidR="00CE4906" w:rsidRPr="00CE4906" w:rsidRDefault="00CE4906" w:rsidP="00F15B64">
      <w:pPr>
        <w:pStyle w:val="Heading2"/>
        <w:rPr>
          <w:lang w:val="en-GB"/>
        </w:rPr>
      </w:pPr>
      <w:bookmarkStart w:id="107" w:name="_Toc7200523"/>
      <w:r w:rsidRPr="00CE4906">
        <w:rPr>
          <w:lang w:val="en-GB"/>
        </w:rPr>
        <w:t>Audits of on-going road projects</w:t>
      </w:r>
      <w:bookmarkEnd w:id="107"/>
    </w:p>
    <w:p w14:paraId="6AAF3CAA" w14:textId="645E0F1D" w:rsidR="00F15B64" w:rsidRPr="0029304B" w:rsidRDefault="00124800" w:rsidP="00F15B64">
      <w:r>
        <w:t>There is a need to review the designs for ongoing projects to ensure that all planned road project incorporate adequate infrastructure for NMT and public transport</w:t>
      </w:r>
      <w:r w:rsidR="00F15B64" w:rsidRPr="0029304B">
        <w:t>.</w:t>
      </w:r>
    </w:p>
    <w:p w14:paraId="233F79BD" w14:textId="77777777" w:rsidR="0017188B" w:rsidRPr="0029304B" w:rsidRDefault="0017188B" w:rsidP="0017188B"/>
    <w:tbl>
      <w:tblPr>
        <w:tblW w:w="0" w:type="auto"/>
        <w:shd w:val="clear" w:color="auto" w:fill="FDF3DE" w:themeFill="accent2" w:themeFillTint="33"/>
        <w:tblCellMar>
          <w:top w:w="113" w:type="dxa"/>
          <w:bottom w:w="113" w:type="dxa"/>
        </w:tblCellMar>
        <w:tblLook w:val="04A0" w:firstRow="1" w:lastRow="0" w:firstColumn="1" w:lastColumn="0" w:noHBand="0" w:noVBand="1"/>
      </w:tblPr>
      <w:tblGrid>
        <w:gridCol w:w="9020"/>
      </w:tblGrid>
      <w:tr w:rsidR="0017188B" w:rsidRPr="0029304B" w14:paraId="1BF0F401" w14:textId="77777777" w:rsidTr="00A42185">
        <w:tc>
          <w:tcPr>
            <w:tcW w:w="9020" w:type="dxa"/>
            <w:shd w:val="clear" w:color="auto" w:fill="FDF3DE" w:themeFill="accent2" w:themeFillTint="33"/>
          </w:tcPr>
          <w:p w14:paraId="552DFE5B" w14:textId="51D2D22B" w:rsidR="0017188B" w:rsidRPr="0029304B" w:rsidRDefault="0017188B" w:rsidP="00A42185">
            <w:pPr>
              <w:pStyle w:val="Boxheader"/>
            </w:pPr>
            <w:r w:rsidRPr="0029304B">
              <w:t>Key action</w:t>
            </w:r>
            <w:r w:rsidR="006F4E22">
              <w:t>s</w:t>
            </w:r>
          </w:p>
          <w:p w14:paraId="38D7E180" w14:textId="25B5834E" w:rsidR="0017188B" w:rsidRDefault="0017188B" w:rsidP="0017188B">
            <w:pPr>
              <w:pStyle w:val="ListParagraph"/>
            </w:pPr>
            <w:r>
              <w:t>Review the designs for ongoin</w:t>
            </w:r>
            <w:r w:rsidR="00951FC8">
              <w:t xml:space="preserve">g projects, </w:t>
            </w:r>
            <w:r>
              <w:t xml:space="preserve">to assess the inclusion of footpaths, cycle tracks, </w:t>
            </w:r>
            <w:r w:rsidR="00124800">
              <w:t xml:space="preserve">crossings, </w:t>
            </w:r>
            <w:r>
              <w:t xml:space="preserve">and other NMT </w:t>
            </w:r>
            <w:r w:rsidR="00612A53">
              <w:t xml:space="preserve">and public transport </w:t>
            </w:r>
            <w:r>
              <w:t>elements.</w:t>
            </w:r>
          </w:p>
          <w:p w14:paraId="3D485BA7" w14:textId="1E51D825" w:rsidR="00FC148E" w:rsidRPr="0029304B" w:rsidRDefault="00FC148E" w:rsidP="0017188B">
            <w:pPr>
              <w:pStyle w:val="ListParagraph"/>
            </w:pPr>
            <w:r>
              <w:t>Incorporate BRT with high-quality NMT access. Dedicated BRT lanes should be included on all grade separators planned under the Decongestion project.</w:t>
            </w:r>
          </w:p>
        </w:tc>
      </w:tr>
    </w:tbl>
    <w:p w14:paraId="2AD0B514" w14:textId="0484D00D" w:rsidR="0017188B" w:rsidRDefault="0017188B" w:rsidP="000E2568"/>
    <w:p w14:paraId="762E481A" w14:textId="6891154A" w:rsidR="00443676" w:rsidRDefault="00443676" w:rsidP="000E2568"/>
    <w:p w14:paraId="20EA9DDD" w14:textId="77777777" w:rsidR="00443676" w:rsidRDefault="00443676" w:rsidP="000E2568"/>
    <w:p w14:paraId="5B75A7FE" w14:textId="03472BE2" w:rsidR="006F4E22" w:rsidRDefault="006F4E22" w:rsidP="006F4E22">
      <w:pPr>
        <w:pStyle w:val="Heading2"/>
      </w:pPr>
      <w:bookmarkStart w:id="108" w:name="_Toc7200524"/>
      <w:r>
        <w:t>Trade policies</w:t>
      </w:r>
      <w:bookmarkEnd w:id="108"/>
    </w:p>
    <w:p w14:paraId="12550101" w14:textId="2D57EE65" w:rsidR="006F4E22" w:rsidRDefault="006F4E22" w:rsidP="000E2568">
      <w:r>
        <w:lastRenderedPageBreak/>
        <w:t xml:space="preserve">Bicycles traditionally have been considered luxury goods and subjected to high import tariffs. </w:t>
      </w:r>
      <w:r w:rsidR="00A13DC8">
        <w:t>Existing</w:t>
      </w:r>
      <w:r>
        <w:t xml:space="preserve"> tariffs on bicycles are higher than those on motorcycles and some cars. To increase access to high-quality bicycles, tariffs on bicycles should be removed.</w:t>
      </w:r>
    </w:p>
    <w:p w14:paraId="7FCC02C0" w14:textId="77777777" w:rsidR="006F4E22" w:rsidRPr="0029304B" w:rsidRDefault="006F4E22" w:rsidP="006F4E22"/>
    <w:tbl>
      <w:tblPr>
        <w:tblW w:w="0" w:type="auto"/>
        <w:shd w:val="clear" w:color="auto" w:fill="FDF3DE" w:themeFill="accent2" w:themeFillTint="33"/>
        <w:tblCellMar>
          <w:top w:w="113" w:type="dxa"/>
          <w:bottom w:w="113" w:type="dxa"/>
        </w:tblCellMar>
        <w:tblLook w:val="04A0" w:firstRow="1" w:lastRow="0" w:firstColumn="1" w:lastColumn="0" w:noHBand="0" w:noVBand="1"/>
      </w:tblPr>
      <w:tblGrid>
        <w:gridCol w:w="9020"/>
      </w:tblGrid>
      <w:tr w:rsidR="006F4E22" w:rsidRPr="0029304B" w14:paraId="318DFDEC" w14:textId="77777777" w:rsidTr="00486C68">
        <w:tc>
          <w:tcPr>
            <w:tcW w:w="9020" w:type="dxa"/>
            <w:shd w:val="clear" w:color="auto" w:fill="FDF3DE" w:themeFill="accent2" w:themeFillTint="33"/>
          </w:tcPr>
          <w:p w14:paraId="5092716A" w14:textId="77777777" w:rsidR="006F4E22" w:rsidRPr="0029304B" w:rsidRDefault="006F4E22" w:rsidP="00486C68">
            <w:pPr>
              <w:pStyle w:val="Boxheader"/>
            </w:pPr>
            <w:r w:rsidRPr="0029304B">
              <w:t>Key action</w:t>
            </w:r>
          </w:p>
          <w:p w14:paraId="6B04C888" w14:textId="2534ADF4" w:rsidR="006F4E22" w:rsidRPr="0029304B" w:rsidRDefault="006F4E22" w:rsidP="00486C68">
            <w:pPr>
              <w:pStyle w:val="ListParagraph"/>
            </w:pPr>
            <w:r>
              <w:t>Remove tariffs on imports of bicycles and bicycle parts.</w:t>
            </w:r>
          </w:p>
        </w:tc>
      </w:tr>
    </w:tbl>
    <w:p w14:paraId="0803700B" w14:textId="77777777" w:rsidR="006F4E22" w:rsidRPr="0029304B" w:rsidRDefault="006F4E22" w:rsidP="000E2568"/>
    <w:p w14:paraId="025C8733" w14:textId="77777777" w:rsidR="000E2568" w:rsidRPr="0029304B" w:rsidRDefault="000E2568" w:rsidP="000E2568">
      <w:pPr>
        <w:pStyle w:val="Heading1"/>
        <w:numPr>
          <w:ilvl w:val="0"/>
          <w:numId w:val="1"/>
        </w:numPr>
      </w:pPr>
      <w:bookmarkStart w:id="109" w:name="_Toc524809095"/>
      <w:bookmarkStart w:id="110" w:name="_Toc526259629"/>
      <w:bookmarkStart w:id="111" w:name="_Toc7200525"/>
      <w:bookmarkEnd w:id="106"/>
      <w:r w:rsidRPr="0029304B">
        <w:t>Implementing the NMT Strategy</w:t>
      </w:r>
      <w:bookmarkEnd w:id="109"/>
      <w:bookmarkEnd w:id="110"/>
      <w:bookmarkEnd w:id="111"/>
    </w:p>
    <w:p w14:paraId="32BB71EA" w14:textId="2FF66C74" w:rsidR="000E2568" w:rsidRPr="0029304B" w:rsidRDefault="000E2568" w:rsidP="000E2568">
      <w:r w:rsidRPr="0029304B">
        <w:t>Achieving the ambiti</w:t>
      </w:r>
      <w:r w:rsidR="008F5C52">
        <w:t>ous goals outlined in the</w:t>
      </w:r>
      <w:r w:rsidR="008F5C52" w:rsidRPr="008F5C52">
        <w:t xml:space="preserve"> [COUNTRY]</w:t>
      </w:r>
      <w:r w:rsidRPr="0029304B">
        <w:t xml:space="preserve"> NMT Strategy will require steady progress over time, strong political will and public support. One way to build stakeholder buy-in is to implement demonstration projects to highlight the benefits of complete streets. Streets that experience high pedestrian volumes and serve as important access routes to public transport have potential for significant impact. By initially focusing on projects with a high probability of success, local authorities in th</w:t>
      </w:r>
      <w:r w:rsidR="00162935">
        <w:t>e key cities and towns in</w:t>
      </w:r>
      <w:r w:rsidR="00162935" w:rsidRPr="00162935">
        <w:t xml:space="preserve"> [COUNTRY]</w:t>
      </w:r>
      <w:r w:rsidRPr="0029304B">
        <w:t xml:space="preserve"> can build public enthusiasm for more widespread transformations.</w:t>
      </w:r>
      <w:r w:rsidR="00526905" w:rsidRPr="0029304B">
        <w:t xml:space="preserve"> </w:t>
      </w:r>
      <w:r w:rsidRPr="0029304B">
        <w:t xml:space="preserve">While change may be difficult at the beginning, determined efforts can help </w:t>
      </w:r>
      <w:r w:rsidR="00476596" w:rsidRPr="00476596">
        <w:t>[COUNTRY]</w:t>
      </w:r>
      <w:r w:rsidRPr="0029304B">
        <w:t xml:space="preserve"> to move toward making cycling and walking safe and enjoyable for all city residents.</w:t>
      </w:r>
    </w:p>
    <w:p w14:paraId="5C0DF54D" w14:textId="77777777" w:rsidR="000E2568" w:rsidRPr="0029304B" w:rsidRDefault="000E2568" w:rsidP="000E2568">
      <w:pPr>
        <w:pStyle w:val="Heading2"/>
        <w:numPr>
          <w:ilvl w:val="1"/>
          <w:numId w:val="1"/>
        </w:numPr>
        <w:rPr>
          <w:lang w:val="en-GB"/>
        </w:rPr>
      </w:pPr>
      <w:bookmarkStart w:id="112" w:name="_Ref469514728"/>
      <w:bookmarkStart w:id="113" w:name="_Toc480297973"/>
      <w:bookmarkStart w:id="114" w:name="_Toc526259631"/>
      <w:bookmarkStart w:id="115" w:name="_Toc7200526"/>
      <w:r w:rsidRPr="0029304B">
        <w:rPr>
          <w:lang w:val="en-GB"/>
        </w:rPr>
        <w:t>Institutional framework</w:t>
      </w:r>
      <w:bookmarkEnd w:id="112"/>
      <w:bookmarkEnd w:id="113"/>
      <w:bookmarkEnd w:id="114"/>
      <w:bookmarkEnd w:id="115"/>
    </w:p>
    <w:p w14:paraId="1E886CE8" w14:textId="77777777" w:rsidR="00D933C4" w:rsidRPr="0029304B" w:rsidRDefault="000E2568" w:rsidP="000E2568">
      <w:r w:rsidRPr="0029304B">
        <w:t xml:space="preserve">Successful implementation of street design projects will involve cooperation among multiple stakeholders. </w:t>
      </w:r>
    </w:p>
    <w:p w14:paraId="72C6C344" w14:textId="77777777" w:rsidR="00D933C4" w:rsidRPr="0029304B" w:rsidRDefault="00D933C4" w:rsidP="00D933C4">
      <w:pPr>
        <w:pStyle w:val="Heading3"/>
        <w:rPr>
          <w:lang w:val="en-GB"/>
        </w:rPr>
      </w:pPr>
      <w:r w:rsidRPr="0029304B">
        <w:rPr>
          <w:lang w:val="en-GB"/>
        </w:rPr>
        <w:t>Agency responsibilities</w:t>
      </w:r>
    </w:p>
    <w:p w14:paraId="4E3DF061" w14:textId="77777777" w:rsidR="000E2568" w:rsidRPr="0029304B" w:rsidRDefault="00132BB7" w:rsidP="000E2568">
      <w:r w:rsidRPr="0029304B">
        <w:t>The following table displays the respective responsibilities of different agencies in implementing the NMT Strategy.</w:t>
      </w:r>
    </w:p>
    <w:p w14:paraId="393B89A3" w14:textId="77777777" w:rsidR="00905B0F" w:rsidRPr="0029304B" w:rsidRDefault="00905B0F" w:rsidP="000E2568"/>
    <w:p w14:paraId="4228C533" w14:textId="73CBE222" w:rsidR="00616D1B" w:rsidRPr="0029304B" w:rsidRDefault="00132BB7" w:rsidP="00921DAE">
      <w:pPr>
        <w:pStyle w:val="Caption"/>
      </w:pPr>
      <w:r w:rsidRPr="00921DAE">
        <w:t xml:space="preserve">Table </w:t>
      </w:r>
      <w:r w:rsidRPr="00921DAE">
        <w:fldChar w:fldCharType="begin"/>
      </w:r>
      <w:r w:rsidRPr="00921DAE">
        <w:instrText xml:space="preserve"> SEQ Table \* ARABIC </w:instrText>
      </w:r>
      <w:r w:rsidRPr="00921DAE">
        <w:fldChar w:fldCharType="separate"/>
      </w:r>
      <w:r w:rsidR="00851657">
        <w:rPr>
          <w:noProof/>
        </w:rPr>
        <w:t>5</w:t>
      </w:r>
      <w:r w:rsidRPr="00921DAE">
        <w:fldChar w:fldCharType="end"/>
      </w:r>
      <w:r w:rsidRPr="00921DAE">
        <w:t xml:space="preserve">: </w:t>
      </w:r>
      <w:r w:rsidRPr="00D358AB">
        <w:rPr>
          <w:color w:val="000000" w:themeColor="text1"/>
        </w:rPr>
        <w:t xml:space="preserve">Key </w:t>
      </w:r>
      <w:r w:rsidR="00921DAE" w:rsidRPr="00D358AB">
        <w:rPr>
          <w:color w:val="000000" w:themeColor="text1"/>
        </w:rPr>
        <w:t xml:space="preserve">government </w:t>
      </w:r>
      <w:r w:rsidR="00F03DC5" w:rsidRPr="00D358AB">
        <w:rPr>
          <w:color w:val="000000" w:themeColor="text1"/>
        </w:rPr>
        <w:t>stakeholders</w:t>
      </w:r>
      <w:r w:rsidRPr="00D358AB">
        <w:rPr>
          <w:color w:val="000000" w:themeColor="text1"/>
        </w:rPr>
        <w:t xml:space="preserve"> and responsibilities.</w:t>
      </w:r>
    </w:p>
    <w:tbl>
      <w:tblPr>
        <w:tblStyle w:val="ITDPtable1"/>
        <w:tblW w:w="5066" w:type="pct"/>
        <w:tblLook w:val="04A0" w:firstRow="1" w:lastRow="0" w:firstColumn="1" w:lastColumn="0" w:noHBand="0" w:noVBand="1"/>
      </w:tblPr>
      <w:tblGrid>
        <w:gridCol w:w="3087"/>
        <w:gridCol w:w="6052"/>
      </w:tblGrid>
      <w:tr w:rsidR="00132BB7" w:rsidRPr="0029304B" w14:paraId="5B7A6D88" w14:textId="77777777" w:rsidTr="00921DAE">
        <w:trPr>
          <w:cnfStyle w:val="100000000000" w:firstRow="1" w:lastRow="0" w:firstColumn="0" w:lastColumn="0" w:oddVBand="0" w:evenVBand="0" w:oddHBand="0" w:evenHBand="0" w:firstRowFirstColumn="0" w:firstRowLastColumn="0" w:lastRowFirstColumn="0" w:lastRowLastColumn="0"/>
          <w:cantSplit/>
          <w:tblHeader/>
        </w:trPr>
        <w:tc>
          <w:tcPr>
            <w:tcW w:w="1689" w:type="pct"/>
            <w:vAlign w:val="top"/>
          </w:tcPr>
          <w:p w14:paraId="1A74AD5B" w14:textId="5C6B1C89" w:rsidR="00132BB7" w:rsidRPr="0029304B" w:rsidRDefault="00F03DC5" w:rsidP="005917B0">
            <w:pPr>
              <w:pStyle w:val="Tabletext"/>
            </w:pPr>
            <w:r>
              <w:t>Stakeholder</w:t>
            </w:r>
          </w:p>
        </w:tc>
        <w:tc>
          <w:tcPr>
            <w:tcW w:w="3311" w:type="pct"/>
            <w:vAlign w:val="top"/>
          </w:tcPr>
          <w:p w14:paraId="092B4172" w14:textId="77777777" w:rsidR="00132BB7" w:rsidRPr="0029304B" w:rsidRDefault="00132BB7" w:rsidP="005917B0">
            <w:pPr>
              <w:pStyle w:val="Tabletext"/>
            </w:pPr>
            <w:r w:rsidRPr="0029304B">
              <w:t>Responsibility</w:t>
            </w:r>
          </w:p>
        </w:tc>
      </w:tr>
      <w:tr w:rsidR="00132BB7" w:rsidRPr="0029304B" w14:paraId="40D6208E" w14:textId="77777777" w:rsidTr="00921DAE">
        <w:trPr>
          <w:cnfStyle w:val="000000100000" w:firstRow="0" w:lastRow="0" w:firstColumn="0" w:lastColumn="0" w:oddVBand="0" w:evenVBand="0" w:oddHBand="1" w:evenHBand="0" w:firstRowFirstColumn="0" w:firstRowLastColumn="0" w:lastRowFirstColumn="0" w:lastRowLastColumn="0"/>
          <w:cantSplit/>
          <w:trHeight w:val="20"/>
        </w:trPr>
        <w:tc>
          <w:tcPr>
            <w:tcW w:w="1689" w:type="pct"/>
            <w:vAlign w:val="top"/>
          </w:tcPr>
          <w:p w14:paraId="02C8E050" w14:textId="5C0DF1AF" w:rsidR="00132BB7" w:rsidRPr="0029304B" w:rsidRDefault="00476596" w:rsidP="00E30314">
            <w:pPr>
              <w:pStyle w:val="Tabletext"/>
            </w:pPr>
            <w:r w:rsidRPr="00476596">
              <w:t>[TRANSPORT MINISTRY]</w:t>
            </w:r>
          </w:p>
        </w:tc>
        <w:tc>
          <w:tcPr>
            <w:tcW w:w="3311" w:type="pct"/>
            <w:vAlign w:val="top"/>
          </w:tcPr>
          <w:p w14:paraId="6F5211BC" w14:textId="77777777" w:rsidR="007A73F5" w:rsidRPr="0029304B" w:rsidRDefault="007A73F5" w:rsidP="00E30314">
            <w:pPr>
              <w:pStyle w:val="Tabletextbullet"/>
            </w:pPr>
            <w:r w:rsidRPr="0029304B">
              <w:t>Provide political leadership and general oversight toward dissemination and implementation of the NMT Strategy.</w:t>
            </w:r>
          </w:p>
          <w:p w14:paraId="3A7F4DBD" w14:textId="77777777" w:rsidR="00132BB7" w:rsidRPr="0029304B" w:rsidRDefault="00E30314" w:rsidP="00E30314">
            <w:pPr>
              <w:pStyle w:val="Tabletextbullet"/>
            </w:pPr>
            <w:r w:rsidRPr="0029304B">
              <w:t>Monitor progress over time.</w:t>
            </w:r>
          </w:p>
        </w:tc>
      </w:tr>
      <w:tr w:rsidR="00E30314" w:rsidRPr="0029304B" w14:paraId="680FD6B8" w14:textId="77777777" w:rsidTr="00921DAE">
        <w:trPr>
          <w:cnfStyle w:val="000000010000" w:firstRow="0" w:lastRow="0" w:firstColumn="0" w:lastColumn="0" w:oddVBand="0" w:evenVBand="0" w:oddHBand="0" w:evenHBand="1" w:firstRowFirstColumn="0" w:firstRowLastColumn="0" w:lastRowFirstColumn="0" w:lastRowLastColumn="0"/>
          <w:cantSplit/>
        </w:trPr>
        <w:tc>
          <w:tcPr>
            <w:tcW w:w="1689" w:type="pct"/>
            <w:vAlign w:val="top"/>
          </w:tcPr>
          <w:p w14:paraId="71ABB9B4" w14:textId="7D13CFF4" w:rsidR="00E30314" w:rsidRPr="0029304B" w:rsidRDefault="00A34217" w:rsidP="00E30314">
            <w:pPr>
              <w:pStyle w:val="Tabletext"/>
            </w:pPr>
            <w:r>
              <w:t>[</w:t>
            </w:r>
            <w:r w:rsidR="0065501A">
              <w:t>LOCAL GOVERNMENT</w:t>
            </w:r>
            <w:r>
              <w:t>]</w:t>
            </w:r>
          </w:p>
        </w:tc>
        <w:tc>
          <w:tcPr>
            <w:tcW w:w="3311" w:type="pct"/>
            <w:vAlign w:val="top"/>
          </w:tcPr>
          <w:p w14:paraId="64003197" w14:textId="77777777" w:rsidR="00E30314" w:rsidRPr="0029304B" w:rsidRDefault="00E30314" w:rsidP="00E30314">
            <w:pPr>
              <w:pStyle w:val="Tabletextbullet"/>
            </w:pPr>
            <w:r w:rsidRPr="0029304B">
              <w:t>Design and implement high-quality walking and cycling facilities.</w:t>
            </w:r>
          </w:p>
          <w:p w14:paraId="767B49CA" w14:textId="77777777" w:rsidR="00E30314" w:rsidRPr="0029304B" w:rsidRDefault="00E30314" w:rsidP="00E30314">
            <w:pPr>
              <w:pStyle w:val="Tabletextbullet"/>
            </w:pPr>
            <w:r w:rsidRPr="0029304B">
              <w:t>Update national street design standards</w:t>
            </w:r>
            <w:r w:rsidR="00D933C4" w:rsidRPr="0029304B">
              <w:t>.</w:t>
            </w:r>
          </w:p>
          <w:p w14:paraId="72CAC5B6" w14:textId="77777777" w:rsidR="00D933C4" w:rsidRPr="0029304B" w:rsidRDefault="00D933C4" w:rsidP="00E30314">
            <w:pPr>
              <w:pStyle w:val="Tabletextbullet"/>
            </w:pPr>
            <w:r w:rsidRPr="0029304B">
              <w:t>Partner with academic institutions and technical organisations to conduct training programs for engineers, planners and other technical staff in the basics of street design.</w:t>
            </w:r>
          </w:p>
        </w:tc>
      </w:tr>
      <w:tr w:rsidR="00132BB7" w:rsidRPr="0029304B" w14:paraId="632E6878" w14:textId="77777777" w:rsidTr="00921DAE">
        <w:trPr>
          <w:cnfStyle w:val="000000100000" w:firstRow="0" w:lastRow="0" w:firstColumn="0" w:lastColumn="0" w:oddVBand="0" w:evenVBand="0" w:oddHBand="1" w:evenHBand="0" w:firstRowFirstColumn="0" w:firstRowLastColumn="0" w:lastRowFirstColumn="0" w:lastRowLastColumn="0"/>
          <w:cantSplit/>
        </w:trPr>
        <w:tc>
          <w:tcPr>
            <w:tcW w:w="1689" w:type="pct"/>
            <w:vAlign w:val="top"/>
          </w:tcPr>
          <w:p w14:paraId="42AD3792" w14:textId="2FA92EEA" w:rsidR="00132BB7" w:rsidRPr="0029304B" w:rsidRDefault="00D358AB" w:rsidP="00E30314">
            <w:pPr>
              <w:pStyle w:val="Tabletext"/>
            </w:pPr>
            <w:r>
              <w:t>[</w:t>
            </w:r>
            <w:r w:rsidR="0065501A">
              <w:t>MINISTRY OF HOUSING</w:t>
            </w:r>
            <w:r>
              <w:t>]</w:t>
            </w:r>
          </w:p>
        </w:tc>
        <w:tc>
          <w:tcPr>
            <w:tcW w:w="3311" w:type="pct"/>
            <w:vAlign w:val="top"/>
          </w:tcPr>
          <w:p w14:paraId="0A39B701" w14:textId="77777777" w:rsidR="00132BB7" w:rsidRPr="0029304B" w:rsidRDefault="00132BB7" w:rsidP="00E30314">
            <w:pPr>
              <w:pStyle w:val="Tabletextbullet"/>
            </w:pPr>
            <w:r w:rsidRPr="0029304B">
              <w:t>Develop model building control rules and planning regulations</w:t>
            </w:r>
            <w:r w:rsidR="00064062" w:rsidRPr="0029304B">
              <w:t>.</w:t>
            </w:r>
          </w:p>
        </w:tc>
      </w:tr>
      <w:tr w:rsidR="00132BB7" w:rsidRPr="0029304B" w14:paraId="59ABF0EC" w14:textId="77777777" w:rsidTr="00921DAE">
        <w:trPr>
          <w:cnfStyle w:val="000000010000" w:firstRow="0" w:lastRow="0" w:firstColumn="0" w:lastColumn="0" w:oddVBand="0" w:evenVBand="0" w:oddHBand="0" w:evenHBand="1" w:firstRowFirstColumn="0" w:firstRowLastColumn="0" w:lastRowFirstColumn="0" w:lastRowLastColumn="0"/>
          <w:cantSplit/>
        </w:trPr>
        <w:tc>
          <w:tcPr>
            <w:tcW w:w="1689" w:type="pct"/>
            <w:vAlign w:val="top"/>
          </w:tcPr>
          <w:p w14:paraId="066AABE6" w14:textId="24B78655" w:rsidR="00132BB7" w:rsidRPr="0029304B" w:rsidRDefault="00D358AB" w:rsidP="00E30314">
            <w:pPr>
              <w:pStyle w:val="Tabletext"/>
            </w:pPr>
            <w:r>
              <w:t>[</w:t>
            </w:r>
            <w:r w:rsidR="0065501A">
              <w:t>ROAD AGENCY</w:t>
            </w:r>
            <w:r>
              <w:t>]</w:t>
            </w:r>
          </w:p>
        </w:tc>
        <w:tc>
          <w:tcPr>
            <w:tcW w:w="3311" w:type="pct"/>
            <w:vAlign w:val="top"/>
          </w:tcPr>
          <w:p w14:paraId="45514409" w14:textId="77777777" w:rsidR="00132BB7" w:rsidRPr="0029304B" w:rsidRDefault="00E30314" w:rsidP="00E30314">
            <w:pPr>
              <w:pStyle w:val="Tabletextbullet"/>
            </w:pPr>
            <w:r w:rsidRPr="0029304B">
              <w:t>Design and implement high-quality walking and cycling facilities.</w:t>
            </w:r>
          </w:p>
        </w:tc>
      </w:tr>
      <w:tr w:rsidR="00132BB7" w:rsidRPr="0029304B" w14:paraId="5F37A9B5" w14:textId="77777777" w:rsidTr="00921DAE">
        <w:trPr>
          <w:cnfStyle w:val="000000100000" w:firstRow="0" w:lastRow="0" w:firstColumn="0" w:lastColumn="0" w:oddVBand="0" w:evenVBand="0" w:oddHBand="1" w:evenHBand="0" w:firstRowFirstColumn="0" w:firstRowLastColumn="0" w:lastRowFirstColumn="0" w:lastRowLastColumn="0"/>
          <w:cantSplit/>
        </w:trPr>
        <w:tc>
          <w:tcPr>
            <w:tcW w:w="1689" w:type="pct"/>
            <w:vAlign w:val="top"/>
          </w:tcPr>
          <w:p w14:paraId="34467DE7" w14:textId="0C2C90B1" w:rsidR="00132BB7" w:rsidRPr="0029304B" w:rsidRDefault="00D358AB" w:rsidP="00E30314">
            <w:pPr>
              <w:pStyle w:val="Tabletext"/>
            </w:pPr>
            <w:r>
              <w:t>[</w:t>
            </w:r>
            <w:r w:rsidR="0065501A">
              <w:t>ROAD SAFETY AGENCY</w:t>
            </w:r>
            <w:r>
              <w:t>]</w:t>
            </w:r>
          </w:p>
        </w:tc>
        <w:tc>
          <w:tcPr>
            <w:tcW w:w="3311" w:type="pct"/>
            <w:vAlign w:val="top"/>
          </w:tcPr>
          <w:p w14:paraId="0F58DD8A" w14:textId="77777777" w:rsidR="00132BB7" w:rsidRPr="0029304B" w:rsidRDefault="00132BB7" w:rsidP="00E30314">
            <w:pPr>
              <w:pStyle w:val="Tabletextbullet"/>
            </w:pPr>
            <w:r w:rsidRPr="0029304B">
              <w:t>Enforce traffic rules,</w:t>
            </w:r>
            <w:r w:rsidR="00E30314" w:rsidRPr="0029304B">
              <w:t xml:space="preserve"> e</w:t>
            </w:r>
            <w:r w:rsidRPr="0029304B">
              <w:t xml:space="preserve">ducate street users, and </w:t>
            </w:r>
            <w:r w:rsidR="00E30314" w:rsidRPr="0029304B">
              <w:t>identify</w:t>
            </w:r>
            <w:r w:rsidRPr="0029304B">
              <w:t xml:space="preserve"> where improvements are required to improve safety</w:t>
            </w:r>
          </w:p>
        </w:tc>
      </w:tr>
      <w:tr w:rsidR="00D933C4" w:rsidRPr="0029304B" w14:paraId="768DAE49" w14:textId="77777777" w:rsidTr="00921DAE">
        <w:trPr>
          <w:cnfStyle w:val="000000010000" w:firstRow="0" w:lastRow="0" w:firstColumn="0" w:lastColumn="0" w:oddVBand="0" w:evenVBand="0" w:oddHBand="0" w:evenHBand="1" w:firstRowFirstColumn="0" w:firstRowLastColumn="0" w:lastRowFirstColumn="0" w:lastRowLastColumn="0"/>
          <w:cantSplit/>
        </w:trPr>
        <w:tc>
          <w:tcPr>
            <w:tcW w:w="1689" w:type="pct"/>
            <w:vAlign w:val="top"/>
          </w:tcPr>
          <w:p w14:paraId="757675E5" w14:textId="5B3E9D7C" w:rsidR="00D933C4" w:rsidRPr="0029304B" w:rsidRDefault="00D358AB" w:rsidP="00E30314">
            <w:pPr>
              <w:pStyle w:val="Tabletext"/>
            </w:pPr>
            <w:r>
              <w:t>[</w:t>
            </w:r>
            <w:r w:rsidR="0065501A">
              <w:t>ROAD FUND AGENCY</w:t>
            </w:r>
            <w:r>
              <w:t>]</w:t>
            </w:r>
          </w:p>
        </w:tc>
        <w:tc>
          <w:tcPr>
            <w:tcW w:w="3311" w:type="pct"/>
            <w:vAlign w:val="top"/>
          </w:tcPr>
          <w:p w14:paraId="5C95B6AB" w14:textId="77777777" w:rsidR="00D933C4" w:rsidRPr="0029304B" w:rsidRDefault="00D933C4" w:rsidP="00E30314">
            <w:pPr>
              <w:pStyle w:val="Tabletextbullet"/>
            </w:pPr>
            <w:r w:rsidRPr="0029304B">
              <w:t>Ensure allocation of adequate budget for NMT development and maintenance</w:t>
            </w:r>
            <w:r w:rsidR="00BA1072" w:rsidRPr="0029304B">
              <w:t>.</w:t>
            </w:r>
          </w:p>
        </w:tc>
      </w:tr>
      <w:tr w:rsidR="00E30314" w:rsidRPr="0029304B" w14:paraId="5EEE78FE" w14:textId="77777777" w:rsidTr="00921DAE">
        <w:trPr>
          <w:cnfStyle w:val="000000100000" w:firstRow="0" w:lastRow="0" w:firstColumn="0" w:lastColumn="0" w:oddVBand="0" w:evenVBand="0" w:oddHBand="1" w:evenHBand="0" w:firstRowFirstColumn="0" w:firstRowLastColumn="0" w:lastRowFirstColumn="0" w:lastRowLastColumn="0"/>
          <w:cantSplit/>
        </w:trPr>
        <w:tc>
          <w:tcPr>
            <w:tcW w:w="1689" w:type="pct"/>
            <w:vAlign w:val="top"/>
          </w:tcPr>
          <w:p w14:paraId="34642380" w14:textId="48A0C8A7" w:rsidR="00E30314" w:rsidRPr="0029304B" w:rsidRDefault="00D358AB" w:rsidP="00E30314">
            <w:pPr>
              <w:pStyle w:val="Tabletext"/>
            </w:pPr>
            <w:r>
              <w:lastRenderedPageBreak/>
              <w:t>[</w:t>
            </w:r>
            <w:r w:rsidR="0065501A">
              <w:t>TRANSPORT AUTHORITIES</w:t>
            </w:r>
            <w:r>
              <w:t>]</w:t>
            </w:r>
          </w:p>
        </w:tc>
        <w:tc>
          <w:tcPr>
            <w:tcW w:w="3311" w:type="pct"/>
            <w:vAlign w:val="top"/>
          </w:tcPr>
          <w:p w14:paraId="00B2BE72" w14:textId="77777777" w:rsidR="00E30314" w:rsidRPr="0029304B" w:rsidRDefault="00E30314" w:rsidP="00E30314">
            <w:pPr>
              <w:pStyle w:val="Tabletextbullet"/>
            </w:pPr>
            <w:r w:rsidRPr="0029304B">
              <w:t>Design and implement high-quality walking and cycling facilities.</w:t>
            </w:r>
          </w:p>
          <w:p w14:paraId="6440BFD4" w14:textId="77777777" w:rsidR="00E30314" w:rsidRPr="0029304B" w:rsidRDefault="00E30314" w:rsidP="00E30314">
            <w:pPr>
              <w:pStyle w:val="Tabletextbullet"/>
            </w:pPr>
            <w:r w:rsidRPr="0029304B">
              <w:t>Plan and implement bicycle sharing systems.</w:t>
            </w:r>
          </w:p>
          <w:p w14:paraId="230C0C7F" w14:textId="77777777" w:rsidR="00E30314" w:rsidRPr="0029304B" w:rsidRDefault="00E30314" w:rsidP="00E30314">
            <w:pPr>
              <w:pStyle w:val="Tabletextbullet"/>
            </w:pPr>
            <w:r w:rsidRPr="0029304B">
              <w:t>Develop greenway corridors with continuous walking and cycling facilities.</w:t>
            </w:r>
          </w:p>
          <w:p w14:paraId="20483955" w14:textId="77777777" w:rsidR="00E30314" w:rsidRPr="0029304B" w:rsidRDefault="00E30314" w:rsidP="00E30314">
            <w:pPr>
              <w:pStyle w:val="Tabletextbullet"/>
            </w:pPr>
            <w:r w:rsidRPr="0029304B">
              <w:t>Oversee operations of the on-street parking management system.</w:t>
            </w:r>
          </w:p>
          <w:p w14:paraId="0DCC3984" w14:textId="77777777" w:rsidR="00E30314" w:rsidRPr="0029304B" w:rsidRDefault="00E30314" w:rsidP="00E30314">
            <w:pPr>
              <w:pStyle w:val="Tabletextbullet"/>
            </w:pPr>
            <w:r w:rsidRPr="0029304B">
              <w:t>Manage street vending.</w:t>
            </w:r>
          </w:p>
          <w:p w14:paraId="6EC722F0" w14:textId="77777777" w:rsidR="00E30314" w:rsidRPr="0029304B" w:rsidRDefault="00E30314" w:rsidP="00E30314">
            <w:pPr>
              <w:pStyle w:val="Tabletextbullet"/>
            </w:pPr>
            <w:r w:rsidRPr="0029304B">
              <w:t>Prevent encroachments on NMT facilities.</w:t>
            </w:r>
          </w:p>
          <w:p w14:paraId="689454E9" w14:textId="77777777" w:rsidR="00B90B79" w:rsidRPr="0029304B" w:rsidRDefault="008961DF" w:rsidP="00E30314">
            <w:pPr>
              <w:pStyle w:val="Tabletextbullet"/>
            </w:pPr>
            <w:r w:rsidRPr="0029304B">
              <w:t>Conduct audits and surveys to monitor progress on implementation of the Strategy</w:t>
            </w:r>
            <w:r w:rsidR="00B90B79" w:rsidRPr="0029304B">
              <w:t>.</w:t>
            </w:r>
          </w:p>
          <w:p w14:paraId="1D8A5513" w14:textId="77777777" w:rsidR="005F073A" w:rsidRPr="0029304B" w:rsidRDefault="005F073A" w:rsidP="00E30314">
            <w:pPr>
              <w:pStyle w:val="Tabletextbullet"/>
            </w:pPr>
            <w:r w:rsidRPr="0029304B">
              <w:t>Manage local Urban Transport Funds.</w:t>
            </w:r>
          </w:p>
        </w:tc>
      </w:tr>
      <w:tr w:rsidR="00E30314" w:rsidRPr="0029304B" w14:paraId="2870B5ED" w14:textId="77777777" w:rsidTr="00921DAE">
        <w:trPr>
          <w:cnfStyle w:val="000000010000" w:firstRow="0" w:lastRow="0" w:firstColumn="0" w:lastColumn="0" w:oddVBand="0" w:evenVBand="0" w:oddHBand="0" w:evenHBand="1" w:firstRowFirstColumn="0" w:firstRowLastColumn="0" w:lastRowFirstColumn="0" w:lastRowLastColumn="0"/>
          <w:cantSplit/>
        </w:trPr>
        <w:tc>
          <w:tcPr>
            <w:tcW w:w="1689" w:type="pct"/>
            <w:vAlign w:val="top"/>
          </w:tcPr>
          <w:p w14:paraId="7DA47FDC" w14:textId="741E4743" w:rsidR="00E30314" w:rsidRPr="0029304B" w:rsidRDefault="00D358AB" w:rsidP="00E30314">
            <w:pPr>
              <w:pStyle w:val="Tabletext"/>
            </w:pPr>
            <w:r>
              <w:t>[</w:t>
            </w:r>
            <w:r w:rsidR="0065501A">
              <w:t>TRAFFIC POLICE</w:t>
            </w:r>
            <w:r>
              <w:t>]</w:t>
            </w:r>
          </w:p>
        </w:tc>
        <w:tc>
          <w:tcPr>
            <w:tcW w:w="3311" w:type="pct"/>
            <w:vAlign w:val="top"/>
          </w:tcPr>
          <w:p w14:paraId="2ACA2817" w14:textId="77777777" w:rsidR="00E30314" w:rsidRPr="0029304B" w:rsidRDefault="00E30314" w:rsidP="00E30314">
            <w:pPr>
              <w:pStyle w:val="Tabletextbullet"/>
            </w:pPr>
            <w:r w:rsidRPr="0029304B">
              <w:t>Control and manage traffic operations.</w:t>
            </w:r>
          </w:p>
        </w:tc>
      </w:tr>
    </w:tbl>
    <w:p w14:paraId="07000816" w14:textId="46FA7899" w:rsidR="00905B0F" w:rsidRDefault="00905B0F" w:rsidP="000E2568"/>
    <w:p w14:paraId="11F15EE6" w14:textId="4EAB85CB" w:rsidR="00921DAE" w:rsidRDefault="00921DAE" w:rsidP="000E2568">
      <w:r>
        <w:t xml:space="preserve">Civil society, schools, universities, and the private sector also have a role to play in supporting implementation of the </w:t>
      </w:r>
      <w:r w:rsidR="00E726AA">
        <w:t xml:space="preserve">NMT </w:t>
      </w:r>
      <w:r w:rsidR="003E51FE">
        <w:t>Strategy</w:t>
      </w:r>
      <w:r>
        <w:t>.</w:t>
      </w:r>
    </w:p>
    <w:p w14:paraId="688889B6" w14:textId="6FAF364C" w:rsidR="00921DAE" w:rsidRPr="0029304B" w:rsidRDefault="00921DAE" w:rsidP="00921DAE">
      <w:pPr>
        <w:pStyle w:val="Caption"/>
      </w:pPr>
      <w:r w:rsidRPr="00E726AA">
        <w:t xml:space="preserve">Table </w:t>
      </w:r>
      <w:r w:rsidRPr="00E726AA">
        <w:fldChar w:fldCharType="begin"/>
      </w:r>
      <w:r w:rsidRPr="00E726AA">
        <w:instrText xml:space="preserve"> SEQ Table \* ARABIC </w:instrText>
      </w:r>
      <w:r w:rsidRPr="00E726AA">
        <w:fldChar w:fldCharType="separate"/>
      </w:r>
      <w:r w:rsidR="00851657">
        <w:rPr>
          <w:noProof/>
        </w:rPr>
        <w:t>6</w:t>
      </w:r>
      <w:r w:rsidRPr="00E726AA">
        <w:fldChar w:fldCharType="end"/>
      </w:r>
      <w:r w:rsidRPr="00E726AA">
        <w:t>: Non-governmental stakeholders and responsibilities.</w:t>
      </w:r>
    </w:p>
    <w:tbl>
      <w:tblPr>
        <w:tblStyle w:val="ITDPtable1"/>
        <w:tblW w:w="5066" w:type="pct"/>
        <w:tblLook w:val="04A0" w:firstRow="1" w:lastRow="0" w:firstColumn="1" w:lastColumn="0" w:noHBand="0" w:noVBand="1"/>
      </w:tblPr>
      <w:tblGrid>
        <w:gridCol w:w="3087"/>
        <w:gridCol w:w="6052"/>
      </w:tblGrid>
      <w:tr w:rsidR="00921DAE" w:rsidRPr="0029304B" w14:paraId="341C9764" w14:textId="77777777" w:rsidTr="00486C68">
        <w:trPr>
          <w:cnfStyle w:val="100000000000" w:firstRow="1" w:lastRow="0" w:firstColumn="0" w:lastColumn="0" w:oddVBand="0" w:evenVBand="0" w:oddHBand="0" w:evenHBand="0" w:firstRowFirstColumn="0" w:firstRowLastColumn="0" w:lastRowFirstColumn="0" w:lastRowLastColumn="0"/>
        </w:trPr>
        <w:tc>
          <w:tcPr>
            <w:tcW w:w="1689" w:type="pct"/>
          </w:tcPr>
          <w:p w14:paraId="5917FE35" w14:textId="77777777" w:rsidR="00921DAE" w:rsidRPr="0029304B" w:rsidRDefault="00921DAE" w:rsidP="00486C68">
            <w:pPr>
              <w:pStyle w:val="Tabletext"/>
            </w:pPr>
            <w:r>
              <w:t>Stakeholder</w:t>
            </w:r>
          </w:p>
        </w:tc>
        <w:tc>
          <w:tcPr>
            <w:tcW w:w="3311" w:type="pct"/>
          </w:tcPr>
          <w:p w14:paraId="08801119" w14:textId="77777777" w:rsidR="00921DAE" w:rsidRPr="0029304B" w:rsidRDefault="00921DAE" w:rsidP="00486C68">
            <w:pPr>
              <w:pStyle w:val="Tabletext"/>
            </w:pPr>
            <w:r w:rsidRPr="0029304B">
              <w:t>Responsibility</w:t>
            </w:r>
          </w:p>
        </w:tc>
      </w:tr>
      <w:tr w:rsidR="00921DAE" w:rsidRPr="0029304B" w14:paraId="324753AB" w14:textId="77777777" w:rsidTr="00486C68">
        <w:trPr>
          <w:cnfStyle w:val="000000100000" w:firstRow="0" w:lastRow="0" w:firstColumn="0" w:lastColumn="0" w:oddVBand="0" w:evenVBand="0" w:oddHBand="1" w:evenHBand="0" w:firstRowFirstColumn="0" w:firstRowLastColumn="0" w:lastRowFirstColumn="0" w:lastRowLastColumn="0"/>
        </w:trPr>
        <w:tc>
          <w:tcPr>
            <w:tcW w:w="1689" w:type="pct"/>
            <w:vAlign w:val="top"/>
          </w:tcPr>
          <w:p w14:paraId="5281F714" w14:textId="5D17CA99" w:rsidR="00921DAE" w:rsidRPr="00F03DC5" w:rsidRDefault="00D358AB" w:rsidP="00486C68">
            <w:pPr>
              <w:pStyle w:val="Tabletext"/>
            </w:pPr>
            <w:r w:rsidRPr="00F03DC5">
              <w:t>CIVIL SOCIETY</w:t>
            </w:r>
            <w:r>
              <w:t>]</w:t>
            </w:r>
          </w:p>
        </w:tc>
        <w:tc>
          <w:tcPr>
            <w:tcW w:w="3311" w:type="pct"/>
            <w:vAlign w:val="top"/>
          </w:tcPr>
          <w:p w14:paraId="5EF09274" w14:textId="52A8E153" w:rsidR="00921DAE" w:rsidRPr="00F03DC5" w:rsidRDefault="00E80E53" w:rsidP="00486C68">
            <w:pPr>
              <w:pStyle w:val="Tabletextbullet"/>
            </w:pPr>
            <w:r>
              <w:t>Bring attention to the</w:t>
            </w:r>
            <w:r w:rsidR="00921DAE" w:rsidRPr="00F03DC5">
              <w:t xml:space="preserve"> right </w:t>
            </w:r>
            <w:r>
              <w:t>to</w:t>
            </w:r>
            <w:r w:rsidR="00921DAE" w:rsidRPr="00F03DC5">
              <w:t xml:space="preserve"> movement</w:t>
            </w:r>
            <w:r w:rsidR="00921DAE">
              <w:t>, particularly for vulnerable groups such as children, women, and persons with disabilities</w:t>
            </w:r>
            <w:r w:rsidR="00921DAE" w:rsidRPr="00F03DC5">
              <w:t xml:space="preserve">. </w:t>
            </w:r>
          </w:p>
          <w:p w14:paraId="4E2F6453" w14:textId="1CC7F518" w:rsidR="00921DAE" w:rsidRPr="00F03DC5" w:rsidRDefault="00921DAE" w:rsidP="00486C68">
            <w:pPr>
              <w:pStyle w:val="Tabletextbullet"/>
            </w:pPr>
            <w:r>
              <w:t>Review designs for new streets.</w:t>
            </w:r>
          </w:p>
          <w:p w14:paraId="0B28AB7B" w14:textId="26B5572F" w:rsidR="00921DAE" w:rsidRPr="00F03DC5" w:rsidRDefault="00921DAE" w:rsidP="00486C68">
            <w:pPr>
              <w:pStyle w:val="Tabletextbullet"/>
            </w:pPr>
            <w:r>
              <w:t>Monitor</w:t>
            </w:r>
            <w:r w:rsidRPr="00F03DC5">
              <w:t xml:space="preserve"> NMT Strategy implementation.</w:t>
            </w:r>
          </w:p>
        </w:tc>
      </w:tr>
      <w:tr w:rsidR="00921DAE" w:rsidRPr="0029304B" w14:paraId="4E87CC50" w14:textId="77777777" w:rsidTr="00486C68">
        <w:trPr>
          <w:cnfStyle w:val="000000010000" w:firstRow="0" w:lastRow="0" w:firstColumn="0" w:lastColumn="0" w:oddVBand="0" w:evenVBand="0" w:oddHBand="0" w:evenHBand="1" w:firstRowFirstColumn="0" w:firstRowLastColumn="0" w:lastRowFirstColumn="0" w:lastRowLastColumn="0"/>
        </w:trPr>
        <w:tc>
          <w:tcPr>
            <w:tcW w:w="1689" w:type="pct"/>
            <w:vAlign w:val="top"/>
          </w:tcPr>
          <w:p w14:paraId="7561939F" w14:textId="50366523" w:rsidR="00921DAE" w:rsidRPr="00F03DC5" w:rsidRDefault="00D358AB" w:rsidP="00486C68">
            <w:pPr>
              <w:pStyle w:val="Tabletext"/>
            </w:pPr>
            <w:r>
              <w:t>[</w:t>
            </w:r>
            <w:r w:rsidRPr="00F03DC5">
              <w:t>UNIVERSITIES</w:t>
            </w:r>
            <w:r>
              <w:t>]</w:t>
            </w:r>
          </w:p>
        </w:tc>
        <w:tc>
          <w:tcPr>
            <w:tcW w:w="3311" w:type="pct"/>
            <w:vAlign w:val="top"/>
          </w:tcPr>
          <w:p w14:paraId="3B69260F" w14:textId="46861C96" w:rsidR="00921DAE" w:rsidRPr="00F03DC5" w:rsidRDefault="00921DAE" w:rsidP="00486C68">
            <w:pPr>
              <w:pStyle w:val="Tabletextbullet"/>
            </w:pPr>
            <w:r w:rsidRPr="00F03DC5">
              <w:t>Conduct research on sustainable transport</w:t>
            </w:r>
            <w:r w:rsidR="00E80E53">
              <w:t>.</w:t>
            </w:r>
          </w:p>
          <w:p w14:paraId="4BE5EB7C" w14:textId="23A626E5" w:rsidR="00921DAE" w:rsidRPr="00F03DC5" w:rsidRDefault="00921DAE" w:rsidP="00486C68">
            <w:pPr>
              <w:pStyle w:val="Tabletextbullet"/>
            </w:pPr>
            <w:r>
              <w:t>Train</w:t>
            </w:r>
            <w:r w:rsidRPr="00F03DC5">
              <w:t xml:space="preserve"> engineers, planners and architects on complete street designs, road safety</w:t>
            </w:r>
            <w:r>
              <w:t>, and transport planning.</w:t>
            </w:r>
          </w:p>
        </w:tc>
      </w:tr>
      <w:tr w:rsidR="00921DAE" w:rsidRPr="0029304B" w14:paraId="088404C8" w14:textId="77777777" w:rsidTr="00486C68">
        <w:trPr>
          <w:cnfStyle w:val="000000100000" w:firstRow="0" w:lastRow="0" w:firstColumn="0" w:lastColumn="0" w:oddVBand="0" w:evenVBand="0" w:oddHBand="1" w:evenHBand="0" w:firstRowFirstColumn="0" w:firstRowLastColumn="0" w:lastRowFirstColumn="0" w:lastRowLastColumn="0"/>
        </w:trPr>
        <w:tc>
          <w:tcPr>
            <w:tcW w:w="1689" w:type="pct"/>
            <w:vAlign w:val="top"/>
          </w:tcPr>
          <w:p w14:paraId="4AB5F1DA" w14:textId="1481BCD8" w:rsidR="00921DAE" w:rsidRPr="00F03DC5" w:rsidRDefault="00D358AB" w:rsidP="00486C68">
            <w:pPr>
              <w:pStyle w:val="Tabletext"/>
            </w:pPr>
            <w:r>
              <w:t>[</w:t>
            </w:r>
            <w:r w:rsidRPr="00F03DC5">
              <w:t>PRIMARY AND HIGH SCHOOLS</w:t>
            </w:r>
            <w:r>
              <w:t>]</w:t>
            </w:r>
          </w:p>
        </w:tc>
        <w:tc>
          <w:tcPr>
            <w:tcW w:w="3311" w:type="pct"/>
            <w:vAlign w:val="top"/>
          </w:tcPr>
          <w:p w14:paraId="410C1B67" w14:textId="59786CE3" w:rsidR="00921DAE" w:rsidRPr="00F03DC5" w:rsidRDefault="00921DAE" w:rsidP="00486C68">
            <w:pPr>
              <w:pStyle w:val="Tabletextbullet"/>
            </w:pPr>
            <w:r w:rsidRPr="00F03DC5">
              <w:t xml:space="preserve">Incorporate road </w:t>
            </w:r>
            <w:r w:rsidR="008F102B" w:rsidRPr="00F03DC5">
              <w:t xml:space="preserve">safety </w:t>
            </w:r>
            <w:r w:rsidRPr="00F03DC5">
              <w:t>as part of the curriculum</w:t>
            </w:r>
            <w:r w:rsidR="008F102B">
              <w:t>.</w:t>
            </w:r>
          </w:p>
        </w:tc>
      </w:tr>
      <w:tr w:rsidR="00921DAE" w:rsidRPr="0029304B" w14:paraId="7099D02B" w14:textId="77777777" w:rsidTr="00486C68">
        <w:trPr>
          <w:cnfStyle w:val="000000010000" w:firstRow="0" w:lastRow="0" w:firstColumn="0" w:lastColumn="0" w:oddVBand="0" w:evenVBand="0" w:oddHBand="0" w:evenHBand="1" w:firstRowFirstColumn="0" w:firstRowLastColumn="0" w:lastRowFirstColumn="0" w:lastRowLastColumn="0"/>
        </w:trPr>
        <w:tc>
          <w:tcPr>
            <w:tcW w:w="1689" w:type="pct"/>
            <w:vAlign w:val="top"/>
          </w:tcPr>
          <w:p w14:paraId="4BB80F46" w14:textId="506A2E5E" w:rsidR="00921DAE" w:rsidRPr="00F03DC5" w:rsidRDefault="00D358AB" w:rsidP="00486C68">
            <w:pPr>
              <w:pStyle w:val="Tabletext"/>
            </w:pPr>
            <w:r>
              <w:t>[</w:t>
            </w:r>
            <w:r w:rsidRPr="00F03DC5">
              <w:t>PUBLIC TRANSPORT OPERATORS</w:t>
            </w:r>
            <w:r>
              <w:t>]</w:t>
            </w:r>
          </w:p>
        </w:tc>
        <w:tc>
          <w:tcPr>
            <w:tcW w:w="3311" w:type="pct"/>
            <w:vAlign w:val="top"/>
          </w:tcPr>
          <w:p w14:paraId="44D5CA03" w14:textId="77777777" w:rsidR="00921DAE" w:rsidRDefault="008F102B" w:rsidP="00486C68">
            <w:pPr>
              <w:pStyle w:val="Tabletextbullet"/>
            </w:pPr>
            <w:r>
              <w:t>Improve access for persons with disabilities.</w:t>
            </w:r>
          </w:p>
          <w:p w14:paraId="6F2EC71F" w14:textId="6BA3BDA6" w:rsidR="008F102B" w:rsidRPr="00F03DC5" w:rsidRDefault="006A699C" w:rsidP="00486C68">
            <w:pPr>
              <w:pStyle w:val="Tabletextbullet"/>
            </w:pPr>
            <w:r>
              <w:t>Practice safe driving around pedestrians and cyclists. Yield to pedestrians and cyclists at crosswalks.</w:t>
            </w:r>
          </w:p>
        </w:tc>
      </w:tr>
      <w:tr w:rsidR="00921DAE" w:rsidRPr="0029304B" w14:paraId="05A8BE68" w14:textId="77777777" w:rsidTr="00486C68">
        <w:trPr>
          <w:cnfStyle w:val="000000100000" w:firstRow="0" w:lastRow="0" w:firstColumn="0" w:lastColumn="0" w:oddVBand="0" w:evenVBand="0" w:oddHBand="1" w:evenHBand="0" w:firstRowFirstColumn="0" w:firstRowLastColumn="0" w:lastRowFirstColumn="0" w:lastRowLastColumn="0"/>
        </w:trPr>
        <w:tc>
          <w:tcPr>
            <w:tcW w:w="1689" w:type="pct"/>
            <w:vAlign w:val="top"/>
          </w:tcPr>
          <w:p w14:paraId="57D3EEA4" w14:textId="11C512AD" w:rsidR="00921DAE" w:rsidRPr="00F03DC5" w:rsidRDefault="00D358AB" w:rsidP="00486C68">
            <w:pPr>
              <w:pStyle w:val="Tabletext"/>
            </w:pPr>
            <w:r>
              <w:t>[</w:t>
            </w:r>
            <w:r w:rsidRPr="00F03DC5">
              <w:t>BUSINESS COMMUNITY</w:t>
            </w:r>
            <w:r>
              <w:t>]</w:t>
            </w:r>
          </w:p>
        </w:tc>
        <w:tc>
          <w:tcPr>
            <w:tcW w:w="3311" w:type="pct"/>
            <w:vAlign w:val="top"/>
          </w:tcPr>
          <w:p w14:paraId="185500FB" w14:textId="77777777" w:rsidR="00921DAE" w:rsidRDefault="006A699C" w:rsidP="00486C68">
            <w:pPr>
              <w:pStyle w:val="Tabletextbullet"/>
            </w:pPr>
            <w:r>
              <w:t>Engage in p</w:t>
            </w:r>
            <w:r w:rsidR="00921DAE" w:rsidRPr="00F03DC5">
              <w:t>ublic private partnership</w:t>
            </w:r>
            <w:r>
              <w:t>s</w:t>
            </w:r>
            <w:r w:rsidR="00921DAE" w:rsidRPr="00F03DC5">
              <w:t xml:space="preserve"> </w:t>
            </w:r>
            <w:r>
              <w:t>for</w:t>
            </w:r>
            <w:r w:rsidR="00921DAE" w:rsidRPr="00F03DC5">
              <w:t xml:space="preserve"> NMT development</w:t>
            </w:r>
            <w:r>
              <w:t>.</w:t>
            </w:r>
          </w:p>
          <w:p w14:paraId="3D9469DB" w14:textId="77777777" w:rsidR="006A699C" w:rsidRDefault="006A699C" w:rsidP="00486C68">
            <w:pPr>
              <w:pStyle w:val="Tabletextbullet"/>
            </w:pPr>
            <w:r>
              <w:t>Encourage employee commuting by sustainable modes.</w:t>
            </w:r>
          </w:p>
          <w:p w14:paraId="7876EE81" w14:textId="6B3EBCFB" w:rsidR="00B47CAC" w:rsidRPr="00F03DC5" w:rsidRDefault="00B47CAC" w:rsidP="00486C68">
            <w:pPr>
              <w:pStyle w:val="Tabletextbullet"/>
            </w:pPr>
            <w:r>
              <w:t>Support bikeshare systems through sponsorships and advertising.</w:t>
            </w:r>
          </w:p>
        </w:tc>
      </w:tr>
      <w:tr w:rsidR="00B47CAC" w:rsidRPr="0029304B" w14:paraId="15AC35FF" w14:textId="77777777" w:rsidTr="00486C68">
        <w:trPr>
          <w:cnfStyle w:val="000000010000" w:firstRow="0" w:lastRow="0" w:firstColumn="0" w:lastColumn="0" w:oddVBand="0" w:evenVBand="0" w:oddHBand="0" w:evenHBand="1" w:firstRowFirstColumn="0" w:firstRowLastColumn="0" w:lastRowFirstColumn="0" w:lastRowLastColumn="0"/>
        </w:trPr>
        <w:tc>
          <w:tcPr>
            <w:tcW w:w="1689" w:type="pct"/>
            <w:vAlign w:val="top"/>
          </w:tcPr>
          <w:p w14:paraId="7FE39896" w14:textId="4449C503" w:rsidR="00B47CAC" w:rsidRPr="00F03DC5" w:rsidRDefault="00D358AB" w:rsidP="00486C68">
            <w:pPr>
              <w:pStyle w:val="Tabletext"/>
            </w:pPr>
            <w:r>
              <w:t>[DEVELOPMENT BANKS &amp; AGENCIES]</w:t>
            </w:r>
          </w:p>
        </w:tc>
        <w:tc>
          <w:tcPr>
            <w:tcW w:w="3311" w:type="pct"/>
            <w:vAlign w:val="top"/>
          </w:tcPr>
          <w:p w14:paraId="7B6BDA92" w14:textId="3541C1BA" w:rsidR="00B47CAC" w:rsidRDefault="00B47CAC" w:rsidP="00486C68">
            <w:pPr>
              <w:pStyle w:val="Tabletextbullet"/>
            </w:pPr>
            <w:r>
              <w:t>Support the preparation of technical studies for sustainable transport projects.</w:t>
            </w:r>
          </w:p>
          <w:p w14:paraId="6F864E99" w14:textId="67B210F7" w:rsidR="00B47CAC" w:rsidRDefault="00B47CAC" w:rsidP="00486C68">
            <w:pPr>
              <w:pStyle w:val="Tabletextbullet"/>
            </w:pPr>
            <w:r>
              <w:t>Carry out design review for ongoing projects.</w:t>
            </w:r>
          </w:p>
          <w:p w14:paraId="5961BD68" w14:textId="36B1C8EC" w:rsidR="00B47CAC" w:rsidRDefault="00B47CAC" w:rsidP="00486C68">
            <w:pPr>
              <w:pStyle w:val="Tabletextbullet"/>
            </w:pPr>
            <w:r>
              <w:t>Provide financing for sustainable transport initiatives.</w:t>
            </w:r>
          </w:p>
        </w:tc>
      </w:tr>
    </w:tbl>
    <w:p w14:paraId="66B8505A" w14:textId="77777777" w:rsidR="003F3FA1" w:rsidRPr="0029304B" w:rsidRDefault="003F3FA1" w:rsidP="003F3FA1">
      <w:pPr>
        <w:pStyle w:val="Heading3"/>
        <w:numPr>
          <w:ilvl w:val="2"/>
          <w:numId w:val="1"/>
        </w:numPr>
        <w:rPr>
          <w:lang w:val="en-GB"/>
        </w:rPr>
      </w:pPr>
      <w:r w:rsidRPr="0029304B">
        <w:rPr>
          <w:lang w:val="en-GB"/>
        </w:rPr>
        <w:t xml:space="preserve">National NMT Committee </w:t>
      </w:r>
    </w:p>
    <w:p w14:paraId="4EEFDEA9" w14:textId="52F525B3" w:rsidR="009211E2" w:rsidRPr="0029304B" w:rsidRDefault="00476596" w:rsidP="000E2568">
      <w:r>
        <w:t>The [COUNTRY]</w:t>
      </w:r>
      <w:r w:rsidR="00905B0F" w:rsidRPr="0029304B">
        <w:t xml:space="preserve"> and local authorities will develop appropriate frameworks to coordinate among key departments, both at the national and local levels. </w:t>
      </w:r>
      <w:r w:rsidR="00E8375A" w:rsidRPr="0029304B">
        <w:t>To improve</w:t>
      </w:r>
      <w:r>
        <w:t xml:space="preserve"> inter-agency coordination, the </w:t>
      </w:r>
      <w:r w:rsidRPr="00476596">
        <w:t>[TRANSPORT MINISTRY]</w:t>
      </w:r>
      <w:r w:rsidR="00E8375A" w:rsidRPr="0029304B">
        <w:t xml:space="preserve"> will set up and convene regular meetings of a national NMT Committees to review proposed designs, guide implementation, and monitor performance over time. </w:t>
      </w:r>
      <w:r w:rsidR="009211E2" w:rsidRPr="0029304B">
        <w:t>The NMT Committee will prepare quarterly and annual NMT implementation and maintenance reports and submit the same to the</w:t>
      </w:r>
      <w:r w:rsidRPr="00476596">
        <w:t xml:space="preserve"> [TRANSPORT MINISTRY]</w:t>
      </w:r>
      <w:r w:rsidR="008157BC" w:rsidRPr="0029304B">
        <w:t>,</w:t>
      </w:r>
      <w:r w:rsidR="009211E2" w:rsidRPr="0029304B">
        <w:t xml:space="preserve"> listing any challenges experienced and recommendations.</w:t>
      </w:r>
    </w:p>
    <w:p w14:paraId="633DC871" w14:textId="77777777" w:rsidR="000E2568" w:rsidRPr="0029304B" w:rsidRDefault="00E8375A" w:rsidP="000E2568">
      <w:r w:rsidRPr="0029304B">
        <w:t>The</w:t>
      </w:r>
      <w:r w:rsidR="000E2568" w:rsidRPr="0029304B">
        <w:t xml:space="preserve"> </w:t>
      </w:r>
      <w:r w:rsidRPr="0029304B">
        <w:t xml:space="preserve">national </w:t>
      </w:r>
      <w:r w:rsidR="000E2568" w:rsidRPr="0029304B">
        <w:t xml:space="preserve">NMT Committee will include </w:t>
      </w:r>
      <w:r w:rsidR="00132BB7" w:rsidRPr="0029304B">
        <w:t xml:space="preserve">representatives from </w:t>
      </w:r>
      <w:r w:rsidR="000E2568" w:rsidRPr="0029304B">
        <w:t xml:space="preserve">the following </w:t>
      </w:r>
      <w:r w:rsidR="00132BB7" w:rsidRPr="0029304B">
        <w:t>agencies</w:t>
      </w:r>
      <w:r w:rsidR="000E2568" w:rsidRPr="0029304B">
        <w:t>:</w:t>
      </w:r>
    </w:p>
    <w:p w14:paraId="543F8917" w14:textId="4F3CBCC7" w:rsidR="000E2568" w:rsidRPr="0029304B" w:rsidRDefault="00BC1CD8" w:rsidP="00476596">
      <w:pPr>
        <w:pStyle w:val="ListParagraph"/>
      </w:pPr>
      <w:r w:rsidRPr="00476596">
        <w:t>[TRANSPORT MINISTRY]</w:t>
      </w:r>
      <w:r w:rsidRPr="0029304B">
        <w:t xml:space="preserve"> </w:t>
      </w:r>
    </w:p>
    <w:p w14:paraId="247B22BB" w14:textId="226F6155" w:rsidR="000E2568" w:rsidRPr="0029304B" w:rsidRDefault="00BC1CD8" w:rsidP="000E2568">
      <w:pPr>
        <w:pStyle w:val="ListParagraph"/>
      </w:pPr>
      <w:r>
        <w:t>[MINISTRY OF LOCAL GOVERNMENT]</w:t>
      </w:r>
    </w:p>
    <w:p w14:paraId="22F01E93" w14:textId="59DE02E0" w:rsidR="000E2568" w:rsidRPr="0029304B" w:rsidRDefault="00BC1CD8" w:rsidP="000E2568">
      <w:pPr>
        <w:pStyle w:val="ListParagraph"/>
      </w:pPr>
      <w:r>
        <w:lastRenderedPageBreak/>
        <w:t>[HOUSING MINISTRY]</w:t>
      </w:r>
    </w:p>
    <w:p w14:paraId="70D1C18B" w14:textId="6A9489DC" w:rsidR="000E2568" w:rsidRPr="0029304B" w:rsidRDefault="00BC1CD8" w:rsidP="000E2568">
      <w:pPr>
        <w:pStyle w:val="ListParagraph"/>
      </w:pPr>
      <w:r>
        <w:t>[ROAD</w:t>
      </w:r>
      <w:r w:rsidRPr="0029304B">
        <w:t xml:space="preserve"> </w:t>
      </w:r>
      <w:r>
        <w:t>SAFETY AGENCY]</w:t>
      </w:r>
    </w:p>
    <w:p w14:paraId="33439792" w14:textId="5F79AC90" w:rsidR="00A34217" w:rsidRDefault="00BC1CD8" w:rsidP="00A34217">
      <w:pPr>
        <w:pStyle w:val="ListParagraph"/>
      </w:pPr>
      <w:r>
        <w:t>[ROADS AGENCY]</w:t>
      </w:r>
    </w:p>
    <w:p w14:paraId="3462824B" w14:textId="67BEB604" w:rsidR="00A55E9C" w:rsidRDefault="00BC1CD8" w:rsidP="00A34217">
      <w:pPr>
        <w:pStyle w:val="ListParagraph"/>
      </w:pPr>
      <w:r>
        <w:t>[ROAD FUND AGENCY]</w:t>
      </w:r>
    </w:p>
    <w:p w14:paraId="47E3C0DF" w14:textId="225D57BE" w:rsidR="00A55E9C" w:rsidRDefault="00BC1CD8" w:rsidP="00A55E9C">
      <w:pPr>
        <w:pStyle w:val="ListParagraph"/>
      </w:pPr>
      <w:r w:rsidRPr="0029304B">
        <w:t xml:space="preserve"> </w:t>
      </w:r>
      <w:r>
        <w:t>[</w:t>
      </w:r>
      <w:r w:rsidRPr="0029304B">
        <w:t>ENVIRONMENTAL MANAGEMENT AU</w:t>
      </w:r>
      <w:r>
        <w:t>THORITY]</w:t>
      </w:r>
    </w:p>
    <w:p w14:paraId="5E4ECE33" w14:textId="760E70EF" w:rsidR="00132BB7" w:rsidRPr="0029304B" w:rsidRDefault="00BC1CD8" w:rsidP="00A55E9C">
      <w:pPr>
        <w:pStyle w:val="ListParagraph"/>
      </w:pPr>
      <w:r w:rsidRPr="0029304B">
        <w:t xml:space="preserve"> </w:t>
      </w:r>
      <w:r>
        <w:t>[</w:t>
      </w:r>
      <w:r w:rsidRPr="0029304B">
        <w:t>TRAFFIC POLICE</w:t>
      </w:r>
      <w:r>
        <w:t>]</w:t>
      </w:r>
    </w:p>
    <w:p w14:paraId="104974AA" w14:textId="2F1A9EF8" w:rsidR="00132BB7" w:rsidRPr="00BC1CD8" w:rsidRDefault="00BC1CD8" w:rsidP="00132BB7">
      <w:pPr>
        <w:pStyle w:val="ListParagraph"/>
        <w:rPr>
          <w:color w:val="000000" w:themeColor="text1"/>
        </w:rPr>
      </w:pPr>
      <w:r w:rsidRPr="00BC1CD8">
        <w:rPr>
          <w:color w:val="000000" w:themeColor="text1"/>
        </w:rPr>
        <w:t>[PERSONS WITH DISABILITIES]</w:t>
      </w:r>
    </w:p>
    <w:p w14:paraId="6D0D5414" w14:textId="3521412A" w:rsidR="00132BB7" w:rsidRPr="0029304B" w:rsidRDefault="00BC1CD8" w:rsidP="00132BB7">
      <w:pPr>
        <w:pStyle w:val="ListParagraph"/>
      </w:pPr>
      <w:r>
        <w:t>[</w:t>
      </w:r>
      <w:r w:rsidRPr="0029304B">
        <w:t>CITY COUNCIL</w:t>
      </w:r>
      <w:r>
        <w:t>]</w:t>
      </w:r>
    </w:p>
    <w:p w14:paraId="335F778E" w14:textId="77777777" w:rsidR="00132BB7" w:rsidRPr="0029304B" w:rsidRDefault="00132BB7" w:rsidP="00132BB7">
      <w:r w:rsidRPr="0029304B">
        <w:t>The Committee will invite additional stakeholders to participate in committee deliberations:</w:t>
      </w:r>
    </w:p>
    <w:p w14:paraId="707A58D3" w14:textId="244F7221" w:rsidR="000E2568" w:rsidRPr="0029304B" w:rsidRDefault="00BC1CD8" w:rsidP="000E2568">
      <w:pPr>
        <w:pStyle w:val="ListParagraph"/>
      </w:pPr>
      <w:r>
        <w:t>[</w:t>
      </w:r>
      <w:r w:rsidRPr="0029304B">
        <w:t>NON-GOVERNMENT OR COMMUNITY ORGANISATIONS</w:t>
      </w:r>
      <w:r>
        <w:t>]</w:t>
      </w:r>
    </w:p>
    <w:p w14:paraId="20AE997B" w14:textId="4BF52EF3" w:rsidR="000E2568" w:rsidRPr="0029304B" w:rsidRDefault="00BC1CD8" w:rsidP="000E2568">
      <w:pPr>
        <w:pStyle w:val="ListParagraph"/>
      </w:pPr>
      <w:r>
        <w:t>[</w:t>
      </w:r>
      <w:r w:rsidRPr="0029304B">
        <w:t>LOCAL GOVERNMENT ASSOCIATION</w:t>
      </w:r>
      <w:r>
        <w:t xml:space="preserve"> OF COUNTRY]</w:t>
      </w:r>
    </w:p>
    <w:p w14:paraId="6542BCDA" w14:textId="325FFF81" w:rsidR="000E2568" w:rsidRPr="0029304B" w:rsidRDefault="00BC1CD8" w:rsidP="000E2568">
      <w:pPr>
        <w:pStyle w:val="ListParagraph"/>
      </w:pPr>
      <w:r>
        <w:t>[</w:t>
      </w:r>
      <w:r w:rsidRPr="0029304B">
        <w:t>INSTITUTE OF PLANNERS</w:t>
      </w:r>
      <w:r>
        <w:t>]</w:t>
      </w:r>
    </w:p>
    <w:p w14:paraId="4C53E7BD" w14:textId="6830DD2A" w:rsidR="000E2568" w:rsidRPr="0029304B" w:rsidRDefault="00BC1CD8" w:rsidP="000E2568">
      <w:pPr>
        <w:pStyle w:val="ListParagraph"/>
      </w:pPr>
      <w:r>
        <w:t>[</w:t>
      </w:r>
      <w:r w:rsidRPr="0029304B">
        <w:t>E</w:t>
      </w:r>
      <w:r>
        <w:t>NGINEERING INSTITUTION]</w:t>
      </w:r>
    </w:p>
    <w:p w14:paraId="49EE10C1" w14:textId="76BA6A31" w:rsidR="000E2568" w:rsidRPr="0029304B" w:rsidRDefault="00BC1CD8" w:rsidP="000E2568">
      <w:pPr>
        <w:pStyle w:val="ListParagraph"/>
      </w:pPr>
      <w:r>
        <w:t>[</w:t>
      </w:r>
      <w:r w:rsidRPr="0029304B">
        <w:t>REPRESENTATIVES FROM UNIVERSITIES</w:t>
      </w:r>
      <w:r>
        <w:t>]</w:t>
      </w:r>
    </w:p>
    <w:p w14:paraId="4D05A6D0" w14:textId="77777777" w:rsidR="00D915E5" w:rsidRPr="0029304B" w:rsidRDefault="00D915E5" w:rsidP="00D915E5">
      <w:pPr>
        <w:pStyle w:val="Heading3"/>
        <w:rPr>
          <w:lang w:val="en-GB"/>
        </w:rPr>
      </w:pPr>
      <w:r w:rsidRPr="0029304B">
        <w:rPr>
          <w:lang w:val="en-GB"/>
        </w:rPr>
        <w:t xml:space="preserve">Transport </w:t>
      </w:r>
      <w:r w:rsidR="00504E00" w:rsidRPr="0029304B">
        <w:rPr>
          <w:lang w:val="en-GB"/>
        </w:rPr>
        <w:t>Authorities</w:t>
      </w:r>
    </w:p>
    <w:p w14:paraId="7FDB7ED9" w14:textId="5C3C1005" w:rsidR="00D915E5" w:rsidRPr="0029304B" w:rsidRDefault="001D6A09" w:rsidP="00D25C42">
      <w:r>
        <w:rPr>
          <w:lang w:eastAsia="zh-CN"/>
        </w:rPr>
        <w:t>[OUTLINE THE ROLE OF TRANSPORT AGENCIES]</w:t>
      </w:r>
    </w:p>
    <w:p w14:paraId="229E4724" w14:textId="77777777" w:rsidR="000E2568" w:rsidRPr="0029304B" w:rsidRDefault="008157BC" w:rsidP="000E2568">
      <w:pPr>
        <w:pStyle w:val="Heading3"/>
        <w:numPr>
          <w:ilvl w:val="2"/>
          <w:numId w:val="1"/>
        </w:numPr>
        <w:rPr>
          <w:lang w:val="en-GB"/>
        </w:rPr>
      </w:pPr>
      <w:r w:rsidRPr="0029304B">
        <w:rPr>
          <w:lang w:val="en-GB"/>
        </w:rPr>
        <w:t>Local authority</w:t>
      </w:r>
      <w:r w:rsidR="000E2568" w:rsidRPr="0029304B">
        <w:rPr>
          <w:lang w:val="en-GB"/>
        </w:rPr>
        <w:t xml:space="preserve"> </w:t>
      </w:r>
      <w:r w:rsidRPr="0029304B">
        <w:rPr>
          <w:lang w:val="en-GB"/>
        </w:rPr>
        <w:t>implementation committees</w:t>
      </w:r>
    </w:p>
    <w:p w14:paraId="2D1BF0BE" w14:textId="77777777" w:rsidR="000E2568" w:rsidRPr="0029304B" w:rsidRDefault="008157BC" w:rsidP="00B90B79">
      <w:pPr>
        <w:rPr>
          <w:b/>
        </w:rPr>
      </w:pPr>
      <w:r w:rsidRPr="0029304B">
        <w:t xml:space="preserve">Local authorities are encouraged to </w:t>
      </w:r>
      <w:r w:rsidR="00B90B79" w:rsidRPr="0029304B">
        <w:t xml:space="preserve">form </w:t>
      </w:r>
      <w:r w:rsidR="000E2568" w:rsidRPr="0029304B">
        <w:t xml:space="preserve">NMT Committees </w:t>
      </w:r>
      <w:r w:rsidR="00B90B79" w:rsidRPr="0029304B">
        <w:t xml:space="preserve">to develop NMT project plans; facilitate community participation; and monitor project implementation. Such committees can include </w:t>
      </w:r>
      <w:r w:rsidR="000E2568" w:rsidRPr="0029304B">
        <w:t>the following members</w:t>
      </w:r>
      <w:r w:rsidR="00B90B79" w:rsidRPr="0029304B">
        <w:t>:</w:t>
      </w:r>
    </w:p>
    <w:p w14:paraId="23EF7980" w14:textId="53C9089B" w:rsidR="000E2568" w:rsidRPr="0029304B" w:rsidRDefault="00EA3F17" w:rsidP="000E2568">
      <w:pPr>
        <w:pStyle w:val="ListParagraph"/>
      </w:pPr>
      <w:r>
        <w:t>[</w:t>
      </w:r>
      <w:r w:rsidRPr="0029304B">
        <w:t>CITY TOWN</w:t>
      </w:r>
      <w:r>
        <w:t>]</w:t>
      </w:r>
    </w:p>
    <w:p w14:paraId="3514DA20" w14:textId="7036567E" w:rsidR="000E2568" w:rsidRPr="0029304B" w:rsidRDefault="000E2568" w:rsidP="000E2568">
      <w:pPr>
        <w:pStyle w:val="ListParagraph"/>
      </w:pPr>
      <w:r w:rsidRPr="0029304B">
        <w:t xml:space="preserve">City Director of </w:t>
      </w:r>
      <w:r w:rsidR="00BC1CD8">
        <w:t>[</w:t>
      </w:r>
      <w:r w:rsidR="00BC1CD8" w:rsidRPr="0029304B">
        <w:t>TRANSPORT / TRANSPORT AUTHORITY CEO</w:t>
      </w:r>
      <w:r w:rsidR="00BC1CD8">
        <w:t>]</w:t>
      </w:r>
    </w:p>
    <w:p w14:paraId="7C00C10F" w14:textId="1901FCD9" w:rsidR="000E2568" w:rsidRPr="0029304B" w:rsidRDefault="00850204" w:rsidP="000E2568">
      <w:pPr>
        <w:pStyle w:val="ListParagraph"/>
      </w:pPr>
      <w:r>
        <w:t xml:space="preserve">Representative from </w:t>
      </w:r>
      <w:r w:rsidR="00EA3F17">
        <w:t>[</w:t>
      </w:r>
      <w:r w:rsidR="00BC1CD8" w:rsidRPr="0029304B">
        <w:t>L</w:t>
      </w:r>
      <w:r w:rsidR="00BC1CD8">
        <w:t>OCAL GOVERNMENT]</w:t>
      </w:r>
    </w:p>
    <w:p w14:paraId="43FB4892" w14:textId="4E627D04" w:rsidR="000E2568" w:rsidRPr="0029304B" w:rsidRDefault="000E2568" w:rsidP="000E2568">
      <w:pPr>
        <w:pStyle w:val="ListParagraph"/>
      </w:pPr>
      <w:r w:rsidRPr="0029304B">
        <w:t>Representative from</w:t>
      </w:r>
      <w:r w:rsidR="008157BC" w:rsidRPr="0029304B">
        <w:t xml:space="preserve"> city</w:t>
      </w:r>
      <w:r w:rsidRPr="0029304B">
        <w:t xml:space="preserve"> </w:t>
      </w:r>
      <w:r w:rsidR="00EA3F17">
        <w:t>[</w:t>
      </w:r>
      <w:r w:rsidR="00BC1CD8" w:rsidRPr="0029304B">
        <w:t>DEPARTMENT OF LANDS, HOUSING, URBAN DEVELOPMENT</w:t>
      </w:r>
      <w:r w:rsidR="00EA3F17">
        <w:t>]</w:t>
      </w:r>
    </w:p>
    <w:p w14:paraId="1A1BE714" w14:textId="75B217FF" w:rsidR="000E2568" w:rsidRPr="0029304B" w:rsidRDefault="000E2568" w:rsidP="000E2568">
      <w:pPr>
        <w:pStyle w:val="ListParagraph"/>
      </w:pPr>
      <w:r w:rsidRPr="0029304B">
        <w:t xml:space="preserve">Representative from </w:t>
      </w:r>
      <w:r w:rsidR="008157BC" w:rsidRPr="0029304B">
        <w:t xml:space="preserve">city </w:t>
      </w:r>
      <w:r w:rsidR="00EA3F17">
        <w:t>[</w:t>
      </w:r>
      <w:r w:rsidR="00BC1CD8" w:rsidRPr="0029304B">
        <w:t>DEPARTMENT OF ENVIRONMENT</w:t>
      </w:r>
      <w:r w:rsidR="00EA3F17">
        <w:t>]</w:t>
      </w:r>
    </w:p>
    <w:p w14:paraId="3B7C9C2B" w14:textId="6F0F6AB4" w:rsidR="000E2568" w:rsidRPr="0029304B" w:rsidRDefault="000E2568" w:rsidP="000E2568">
      <w:pPr>
        <w:pStyle w:val="ListParagraph"/>
      </w:pPr>
      <w:r w:rsidRPr="0029304B">
        <w:t xml:space="preserve">Representative from </w:t>
      </w:r>
      <w:r w:rsidR="008157BC" w:rsidRPr="0029304B">
        <w:t xml:space="preserve">city </w:t>
      </w:r>
      <w:r w:rsidR="00721AA1" w:rsidRPr="00BC1CD8">
        <w:rPr>
          <w:color w:val="000000" w:themeColor="text1"/>
        </w:rPr>
        <w:t xml:space="preserve">[FINANCE DEPARTMENT] </w:t>
      </w:r>
    </w:p>
    <w:p w14:paraId="367FF669" w14:textId="2383B7E4" w:rsidR="000E2568" w:rsidRPr="0029304B" w:rsidRDefault="000E2568" w:rsidP="000E2568">
      <w:pPr>
        <w:pStyle w:val="ListParagraph"/>
      </w:pPr>
      <w:r w:rsidRPr="0029304B">
        <w:t xml:space="preserve">Representative from </w:t>
      </w:r>
      <w:r w:rsidR="008157BC" w:rsidRPr="0029304B">
        <w:t xml:space="preserve">city </w:t>
      </w:r>
      <w:r w:rsidR="00EA3F17">
        <w:t>[</w:t>
      </w:r>
      <w:r w:rsidR="00BC1CD8" w:rsidRPr="0029304B">
        <w:t>DEPARTMENT OF TRADE &amp; INDUSTRY</w:t>
      </w:r>
      <w:r w:rsidR="00EA3F17">
        <w:t>]</w:t>
      </w:r>
    </w:p>
    <w:p w14:paraId="796EAEB7" w14:textId="6CB09D2A" w:rsidR="00082030" w:rsidRDefault="00BF7381" w:rsidP="000E2568">
      <w:pPr>
        <w:pStyle w:val="ListParagraph"/>
        <w:rPr>
          <w:shd w:val="clear" w:color="auto" w:fill="FFFFFF"/>
        </w:rPr>
      </w:pPr>
      <w:r>
        <w:rPr>
          <w:shd w:val="clear" w:color="auto" w:fill="FFFFFF"/>
        </w:rPr>
        <w:t xml:space="preserve">Representative of </w:t>
      </w:r>
      <w:r w:rsidR="00850204">
        <w:rPr>
          <w:shd w:val="clear" w:color="auto" w:fill="FFFFFF"/>
        </w:rPr>
        <w:t xml:space="preserve">Road </w:t>
      </w:r>
      <w:r w:rsidR="0019568B" w:rsidRPr="0029304B">
        <w:rPr>
          <w:shd w:val="clear" w:color="auto" w:fill="FFFFFF"/>
        </w:rPr>
        <w:t>A</w:t>
      </w:r>
      <w:r w:rsidR="00850204">
        <w:rPr>
          <w:shd w:val="clear" w:color="auto" w:fill="FFFFFF"/>
        </w:rPr>
        <w:t>gency</w:t>
      </w:r>
      <w:r w:rsidR="00082030">
        <w:rPr>
          <w:shd w:val="clear" w:color="auto" w:fill="FFFFFF"/>
        </w:rPr>
        <w:t xml:space="preserve"> </w:t>
      </w:r>
      <w:r w:rsidR="00EA3F17">
        <w:rPr>
          <w:shd w:val="clear" w:color="auto" w:fill="FFFFFF"/>
        </w:rPr>
        <w:t>[</w:t>
      </w:r>
      <w:r w:rsidR="00BC1CD8" w:rsidRPr="0029304B">
        <w:rPr>
          <w:shd w:val="clear" w:color="auto" w:fill="FFFFFF"/>
        </w:rPr>
        <w:t>IN DISTRICTS WHERE</w:t>
      </w:r>
      <w:r w:rsidR="00BC1CD8">
        <w:rPr>
          <w:shd w:val="clear" w:color="auto" w:fill="FFFFFF"/>
        </w:rPr>
        <w:t xml:space="preserve"> THE AGENCY IS REPRESENTED</w:t>
      </w:r>
      <w:r w:rsidR="00EA3F17">
        <w:rPr>
          <w:shd w:val="clear" w:color="auto" w:fill="FFFFFF"/>
        </w:rPr>
        <w:t>]</w:t>
      </w:r>
    </w:p>
    <w:p w14:paraId="1AEF9097" w14:textId="3BFC1CC2" w:rsidR="0019568B" w:rsidRDefault="00082030" w:rsidP="000E2568">
      <w:pPr>
        <w:pStyle w:val="ListParagraph"/>
        <w:rPr>
          <w:shd w:val="clear" w:color="auto" w:fill="FFFFFF"/>
        </w:rPr>
      </w:pPr>
      <w:r>
        <w:rPr>
          <w:shd w:val="clear" w:color="auto" w:fill="FFFFFF"/>
        </w:rPr>
        <w:t xml:space="preserve">Representative of </w:t>
      </w:r>
      <w:r w:rsidR="00850204">
        <w:rPr>
          <w:shd w:val="clear" w:color="auto" w:fill="FFFFFF"/>
        </w:rPr>
        <w:t xml:space="preserve">Road </w:t>
      </w:r>
      <w:r w:rsidR="0019568B" w:rsidRPr="0029304B">
        <w:rPr>
          <w:shd w:val="clear" w:color="auto" w:fill="FFFFFF"/>
        </w:rPr>
        <w:t>S</w:t>
      </w:r>
      <w:r w:rsidR="00850204">
        <w:rPr>
          <w:shd w:val="clear" w:color="auto" w:fill="FFFFFF"/>
        </w:rPr>
        <w:t xml:space="preserve">afety </w:t>
      </w:r>
      <w:r w:rsidR="0019568B" w:rsidRPr="0029304B">
        <w:rPr>
          <w:shd w:val="clear" w:color="auto" w:fill="FFFFFF"/>
        </w:rPr>
        <w:t>A</w:t>
      </w:r>
      <w:r w:rsidR="00850204">
        <w:rPr>
          <w:shd w:val="clear" w:color="auto" w:fill="FFFFFF"/>
        </w:rPr>
        <w:t>gency</w:t>
      </w:r>
      <w:r>
        <w:rPr>
          <w:shd w:val="clear" w:color="auto" w:fill="FFFFFF"/>
        </w:rPr>
        <w:t xml:space="preserve"> </w:t>
      </w:r>
      <w:r w:rsidR="00EA3F17">
        <w:rPr>
          <w:shd w:val="clear" w:color="auto" w:fill="FFFFFF"/>
        </w:rPr>
        <w:t>[</w:t>
      </w:r>
      <w:r w:rsidR="00BC1CD8" w:rsidRPr="0029304B">
        <w:rPr>
          <w:shd w:val="clear" w:color="auto" w:fill="FFFFFF"/>
        </w:rPr>
        <w:t>IN DISTRICTS WHERE</w:t>
      </w:r>
      <w:r w:rsidR="00BC1CD8">
        <w:rPr>
          <w:shd w:val="clear" w:color="auto" w:fill="FFFFFF"/>
        </w:rPr>
        <w:t xml:space="preserve"> THE AGENCY IS REPRESENTED]</w:t>
      </w:r>
    </w:p>
    <w:p w14:paraId="661CFD59" w14:textId="3F4051C3" w:rsidR="000E2568" w:rsidRPr="0029304B" w:rsidRDefault="000E2568" w:rsidP="000E2568">
      <w:pPr>
        <w:pStyle w:val="ListParagraph"/>
      </w:pPr>
      <w:r w:rsidRPr="0029304B">
        <w:t>Traffic Police</w:t>
      </w:r>
    </w:p>
    <w:p w14:paraId="01302C0F" w14:textId="77777777" w:rsidR="000E2568" w:rsidRPr="0029304B" w:rsidRDefault="008157BC" w:rsidP="000E2568">
      <w:pPr>
        <w:pStyle w:val="ListParagraph"/>
      </w:pPr>
      <w:r w:rsidRPr="0029304B">
        <w:t>Residents association</w:t>
      </w:r>
    </w:p>
    <w:p w14:paraId="3016DE11" w14:textId="77777777" w:rsidR="000E2568" w:rsidRPr="0029304B" w:rsidRDefault="008157BC" w:rsidP="000E2568">
      <w:pPr>
        <w:pStyle w:val="ListParagraph"/>
      </w:pPr>
      <w:r w:rsidRPr="0029304B">
        <w:lastRenderedPageBreak/>
        <w:t>Business community representative</w:t>
      </w:r>
    </w:p>
    <w:p w14:paraId="785208DE" w14:textId="77777777" w:rsidR="000E2568" w:rsidRPr="0029304B" w:rsidRDefault="008157BC" w:rsidP="000E2568">
      <w:pPr>
        <w:pStyle w:val="ListParagraph"/>
      </w:pPr>
      <w:r w:rsidRPr="0029304B">
        <w:t>Commuter association</w:t>
      </w:r>
    </w:p>
    <w:p w14:paraId="7E2B180E" w14:textId="77777777" w:rsidR="00B8585E" w:rsidRPr="0029304B" w:rsidRDefault="005917B0" w:rsidP="000E2568">
      <w:pPr>
        <w:pStyle w:val="Heading2"/>
        <w:numPr>
          <w:ilvl w:val="1"/>
          <w:numId w:val="1"/>
        </w:numPr>
        <w:rPr>
          <w:lang w:val="en-GB"/>
        </w:rPr>
      </w:pPr>
      <w:bookmarkStart w:id="116" w:name="_Toc7200527"/>
      <w:bookmarkStart w:id="117" w:name="_Toc513831977"/>
      <w:bookmarkStart w:id="118" w:name="_Toc526259632"/>
      <w:bookmarkEnd w:id="62"/>
      <w:bookmarkEnd w:id="63"/>
      <w:r w:rsidRPr="0029304B">
        <w:rPr>
          <w:lang w:val="en-GB"/>
        </w:rPr>
        <w:t>Planning</w:t>
      </w:r>
      <w:bookmarkEnd w:id="116"/>
    </w:p>
    <w:p w14:paraId="5646CCCB" w14:textId="77777777" w:rsidR="005917B0" w:rsidRPr="0029304B" w:rsidRDefault="00EB1D7C" w:rsidP="005917B0">
      <w:r w:rsidRPr="0029304B">
        <w:t>Each city</w:t>
      </w:r>
      <w:r w:rsidR="005917B0" w:rsidRPr="0029304B">
        <w:t xml:space="preserve"> with a population </w:t>
      </w:r>
      <w:r w:rsidR="00504E00" w:rsidRPr="0029304B">
        <w:t>of</w:t>
      </w:r>
      <w:r w:rsidR="005917B0" w:rsidRPr="0029304B">
        <w:t xml:space="preserve"> 400,000</w:t>
      </w:r>
      <w:r w:rsidR="00504E00" w:rsidRPr="0029304B">
        <w:t xml:space="preserve"> and above</w:t>
      </w:r>
      <w:r w:rsidR="005917B0" w:rsidRPr="0029304B">
        <w:t xml:space="preserve"> </w:t>
      </w:r>
      <w:r w:rsidRPr="0029304B">
        <w:t>is expected</w:t>
      </w:r>
      <w:r w:rsidR="005917B0" w:rsidRPr="0029304B">
        <w:t xml:space="preserve"> to develop a Sustainable Mobility Plan (SMP). An SMP will:</w:t>
      </w:r>
    </w:p>
    <w:p w14:paraId="752B5D63" w14:textId="77777777" w:rsidR="005917B0" w:rsidRPr="0029304B" w:rsidRDefault="005917B0" w:rsidP="006B41F2">
      <w:pPr>
        <w:pStyle w:val="ListParagraph"/>
        <w:numPr>
          <w:ilvl w:val="0"/>
          <w:numId w:val="14"/>
        </w:numPr>
      </w:pPr>
      <w:r w:rsidRPr="0029304B">
        <w:t>Set a vision and quantitative goals for transport system improvements. SMPs should have a goal of a mode share of 80 per cent or more for walking, cycling, public transport, and intermediate public transport and less than 20 per cent for personal motor vehicles.</w:t>
      </w:r>
    </w:p>
    <w:p w14:paraId="1BAA9069" w14:textId="77777777" w:rsidR="005917B0" w:rsidRPr="0029304B" w:rsidRDefault="005917B0" w:rsidP="006B41F2">
      <w:pPr>
        <w:pStyle w:val="ListParagraph"/>
        <w:numPr>
          <w:ilvl w:val="0"/>
          <w:numId w:val="14"/>
        </w:numPr>
      </w:pPr>
      <w:r w:rsidRPr="0029304B">
        <w:t>Outline a comprehensive time-bound programme for expanding and improving NMT facilities, public transport, and travel demand management.</w:t>
      </w:r>
    </w:p>
    <w:p w14:paraId="7972BFEB" w14:textId="77777777" w:rsidR="005917B0" w:rsidRPr="0029304B" w:rsidRDefault="005917B0" w:rsidP="006B41F2">
      <w:pPr>
        <w:pStyle w:val="ListParagraph"/>
        <w:numPr>
          <w:ilvl w:val="0"/>
          <w:numId w:val="14"/>
        </w:numPr>
      </w:pPr>
      <w:r w:rsidRPr="0029304B">
        <w:t>Include explicit measures to reduce the absolute number of trips by personal motor vehicles and encourage a shift from personal motor vehicles to public modes and NMT.</w:t>
      </w:r>
    </w:p>
    <w:p w14:paraId="423987EB" w14:textId="77777777" w:rsidR="005917B0" w:rsidRPr="0029304B" w:rsidRDefault="005917B0" w:rsidP="006B41F2">
      <w:pPr>
        <w:pStyle w:val="ListParagraph"/>
        <w:numPr>
          <w:ilvl w:val="0"/>
          <w:numId w:val="14"/>
        </w:numPr>
      </w:pPr>
      <w:r w:rsidRPr="0029304B">
        <w:t>Describe land use reforms to complement the proposed transport improvements.</w:t>
      </w:r>
    </w:p>
    <w:p w14:paraId="34200B6D" w14:textId="77777777" w:rsidR="005917B0" w:rsidRPr="0029304B" w:rsidRDefault="005917B0" w:rsidP="006B41F2">
      <w:pPr>
        <w:pStyle w:val="ListParagraph"/>
        <w:numPr>
          <w:ilvl w:val="0"/>
          <w:numId w:val="14"/>
        </w:numPr>
      </w:pPr>
      <w:r w:rsidRPr="0029304B">
        <w:t>Be consistent with this NMT Strategy.</w:t>
      </w:r>
    </w:p>
    <w:p w14:paraId="4C633242" w14:textId="77777777" w:rsidR="00241287" w:rsidRPr="0029304B" w:rsidRDefault="00241287" w:rsidP="005917B0">
      <w:r w:rsidRPr="0029304B">
        <w:t>Cities with a population below 400,000 will be encouraged to create NMT Plans with the following elements:</w:t>
      </w:r>
    </w:p>
    <w:p w14:paraId="148BE9C4" w14:textId="77777777" w:rsidR="00504E00" w:rsidRPr="0029304B" w:rsidRDefault="00504E00" w:rsidP="006B41F2">
      <w:pPr>
        <w:pStyle w:val="ListParagraph"/>
        <w:numPr>
          <w:ilvl w:val="0"/>
          <w:numId w:val="17"/>
        </w:numPr>
      </w:pPr>
      <w:r w:rsidRPr="0029304B">
        <w:t>Outline a comprehensive time-bound programme for expanding and improving NMT facilities.</w:t>
      </w:r>
    </w:p>
    <w:p w14:paraId="5693CB3C" w14:textId="77777777" w:rsidR="00241287" w:rsidRPr="0029304B" w:rsidRDefault="00504E00" w:rsidP="006B41F2">
      <w:pPr>
        <w:pStyle w:val="ListParagraph"/>
        <w:numPr>
          <w:ilvl w:val="0"/>
          <w:numId w:val="17"/>
        </w:numPr>
      </w:pPr>
      <w:r w:rsidRPr="0029304B">
        <w:t>Be consistent with this NMT Strategy.</w:t>
      </w:r>
    </w:p>
    <w:p w14:paraId="7EE89E20" w14:textId="6229BC99" w:rsidR="005917B0" w:rsidRPr="0029304B" w:rsidRDefault="005516DB" w:rsidP="005917B0">
      <w:r>
        <w:t>The [COUNTRY]</w:t>
      </w:r>
      <w:r w:rsidR="005917B0" w:rsidRPr="0029304B">
        <w:t xml:space="preserve"> will ensure that all projects funded by the national government involving construction of new streets or retrofitting of existing streets improve safety and convenience for NMT users. </w:t>
      </w:r>
      <w:r w:rsidR="006A6CDB">
        <w:t>As discussed above,</w:t>
      </w:r>
      <w:r w:rsidR="005917B0" w:rsidRPr="0029304B">
        <w:t xml:space="preserve"> the Government will create urban street design</w:t>
      </w:r>
      <w:r w:rsidR="00B672B7">
        <w:t xml:space="preserve"> guidelines, known as the</w:t>
      </w:r>
      <w:r w:rsidR="005917B0" w:rsidRPr="0029304B">
        <w:t xml:space="preserve"> Ur</w:t>
      </w:r>
      <w:r w:rsidR="00B672B7">
        <w:t xml:space="preserve">ban Street Design Manual. The design manual </w:t>
      </w:r>
      <w:r w:rsidR="005917B0" w:rsidRPr="0029304B">
        <w:t>will include detailed standards and design guidelines for footpaths, cycle tracks, carriageway, BRT, and other street elements. All de</w:t>
      </w:r>
      <w:r w:rsidR="00B672B7">
        <w:t>signs will comply with the USDM</w:t>
      </w:r>
      <w:r w:rsidR="005917B0" w:rsidRPr="0029304B">
        <w:t>.</w:t>
      </w:r>
    </w:p>
    <w:p w14:paraId="3D072FF4" w14:textId="77777777" w:rsidR="005917B0" w:rsidRPr="0029304B" w:rsidRDefault="005917B0" w:rsidP="005917B0">
      <w:r w:rsidRPr="0029304B">
        <w:t>The Government will ensure that all transport-related planning, plans, and studies (including surveys, plans, forecasts and models, and implementation plans undertaken by professional staff, consultants and / or international agencies), even those without a specific focus on NMT, consider the impact of proposed interventions on NMT users. The Government will require, where possible, that NMT user participation is included in transport-related planning processes.</w:t>
      </w:r>
    </w:p>
    <w:p w14:paraId="57C78712" w14:textId="77777777" w:rsidR="005917B0" w:rsidRPr="0029304B" w:rsidRDefault="005917B0" w:rsidP="005917B0">
      <w:pPr>
        <w:pStyle w:val="Heading2"/>
        <w:rPr>
          <w:lang w:val="en-GB"/>
        </w:rPr>
      </w:pPr>
      <w:bookmarkStart w:id="119" w:name="_Toc524447902"/>
      <w:bookmarkStart w:id="120" w:name="_Toc524538330"/>
      <w:bookmarkStart w:id="121" w:name="_Toc7200528"/>
      <w:r w:rsidRPr="0029304B">
        <w:rPr>
          <w:lang w:val="en-GB"/>
        </w:rPr>
        <w:t>Funding</w:t>
      </w:r>
      <w:bookmarkEnd w:id="119"/>
      <w:bookmarkEnd w:id="120"/>
      <w:bookmarkEnd w:id="121"/>
    </w:p>
    <w:p w14:paraId="1C9598CE" w14:textId="21A5DB3F" w:rsidR="005917B0" w:rsidRPr="0029304B" w:rsidRDefault="005917B0" w:rsidP="005917B0">
      <w:r w:rsidRPr="0029304B">
        <w:t xml:space="preserve">The Government will prioritise sustainable transport projects, including footpaths, cycle tracks, cycle sharing, and greenways, in order to meet the goals of this Strategy. National funding for urban transport, </w:t>
      </w:r>
      <w:r w:rsidR="00EA3F17">
        <w:t>[</w:t>
      </w:r>
      <w:r w:rsidR="00EA3F17" w:rsidRPr="00EA3F17">
        <w:rPr>
          <w:color w:val="000000" w:themeColor="text1"/>
        </w:rPr>
        <w:t>WHETHER PROVIDED BY THE ROAD FUND/LEVY, THE GOVERNMENT’S BUDGET</w:t>
      </w:r>
      <w:r w:rsidR="00EA3F17">
        <w:t>]</w:t>
      </w:r>
      <w:r w:rsidR="005F073A" w:rsidRPr="00721AA1">
        <w:t xml:space="preserve"> </w:t>
      </w:r>
      <w:r w:rsidR="005F073A" w:rsidRPr="0029304B">
        <w:t>or other sources</w:t>
      </w:r>
      <w:r w:rsidRPr="0029304B">
        <w:t xml:space="preserve">, will be devoted to funding projects that benefit sustainable modes of transport </w:t>
      </w:r>
      <w:r w:rsidR="005F073A" w:rsidRPr="0029304B">
        <w:t>(i.e., walking, cycling, and public transport)</w:t>
      </w:r>
      <w:r w:rsidRPr="0029304B">
        <w:t>. National funding for transport projects will be subject to consistency of the project with provisions of this Policy as well as the following specific conditions:</w:t>
      </w:r>
    </w:p>
    <w:p w14:paraId="3213D374" w14:textId="77777777" w:rsidR="005917B0" w:rsidRPr="0029304B" w:rsidRDefault="005917B0" w:rsidP="006B41F2">
      <w:pPr>
        <w:pStyle w:val="ListParagraph"/>
        <w:numPr>
          <w:ilvl w:val="0"/>
          <w:numId w:val="15"/>
        </w:numPr>
      </w:pPr>
      <w:r w:rsidRPr="0029304B">
        <w:lastRenderedPageBreak/>
        <w:t>The Government will provide funding for urban road projects only if the roads are designed as complete streets with adequate facilities for pedestrians, cyclists, and public transport users.</w:t>
      </w:r>
    </w:p>
    <w:p w14:paraId="3DA3E0F5" w14:textId="77777777" w:rsidR="005917B0" w:rsidRPr="0029304B" w:rsidRDefault="005917B0" w:rsidP="006B41F2">
      <w:pPr>
        <w:pStyle w:val="ListParagraph"/>
        <w:numPr>
          <w:ilvl w:val="0"/>
          <w:numId w:val="15"/>
        </w:numPr>
      </w:pPr>
      <w:r w:rsidRPr="0029304B">
        <w:t>The Government will provide funding for grade separators only if such infrastructure gives priority to public transport.</w:t>
      </w:r>
    </w:p>
    <w:p w14:paraId="52F9EC59" w14:textId="77777777" w:rsidR="005917B0" w:rsidRPr="0029304B" w:rsidRDefault="005917B0" w:rsidP="006B41F2">
      <w:pPr>
        <w:pStyle w:val="ListParagraph"/>
        <w:numPr>
          <w:ilvl w:val="0"/>
          <w:numId w:val="15"/>
        </w:numPr>
      </w:pPr>
      <w:r w:rsidRPr="0029304B">
        <w:t>The Government will not fund projects that expand the supply of parking for personal motor vehicles.</w:t>
      </w:r>
    </w:p>
    <w:p w14:paraId="58ECE7E6" w14:textId="77777777" w:rsidR="005917B0" w:rsidRPr="0029304B" w:rsidRDefault="005917B0" w:rsidP="006B41F2">
      <w:pPr>
        <w:pStyle w:val="ListParagraph"/>
        <w:numPr>
          <w:ilvl w:val="0"/>
          <w:numId w:val="15"/>
        </w:numPr>
      </w:pPr>
      <w:r w:rsidRPr="0029304B">
        <w:t>The Government will facilitate funding from external sources for projects promoting the use of sustainable transportation modes as well as restricting the use of personal motor vehicles.</w:t>
      </w:r>
    </w:p>
    <w:p w14:paraId="13894D08" w14:textId="77777777" w:rsidR="005917B0" w:rsidRPr="0029304B" w:rsidRDefault="00EE11C2" w:rsidP="005917B0">
      <w:r w:rsidRPr="0029304B">
        <w:t>To receive national funding for urban transport projects, local authorities</w:t>
      </w:r>
      <w:r w:rsidR="005917B0" w:rsidRPr="0029304B">
        <w:t xml:space="preserve"> </w:t>
      </w:r>
      <w:r w:rsidRPr="0029304B">
        <w:t>will be required</w:t>
      </w:r>
      <w:r w:rsidR="005917B0" w:rsidRPr="0029304B">
        <w:t xml:space="preserve"> to meet the following conditions:</w:t>
      </w:r>
    </w:p>
    <w:p w14:paraId="155CE3A8" w14:textId="77777777" w:rsidR="005917B0" w:rsidRPr="0029304B" w:rsidRDefault="005917B0" w:rsidP="006B41F2">
      <w:pPr>
        <w:pStyle w:val="ListParagraph"/>
        <w:numPr>
          <w:ilvl w:val="0"/>
          <w:numId w:val="16"/>
        </w:numPr>
      </w:pPr>
      <w:r w:rsidRPr="0029304B">
        <w:t xml:space="preserve">A </w:t>
      </w:r>
      <w:r w:rsidR="00EE11C2" w:rsidRPr="0029304B">
        <w:t>local authority’s</w:t>
      </w:r>
      <w:r w:rsidRPr="0029304B">
        <w:t xml:space="preserve"> capital expenditure on infrastructure for NMT, from its own resources as well as loans from external sources, must constitute 33 per cent of total spending on transport initiatives. Examples of such projects are: footpaths, cycle tracks, cycle sharing systems, and cycle parking.</w:t>
      </w:r>
    </w:p>
    <w:p w14:paraId="27965CE7" w14:textId="77777777" w:rsidR="005917B0" w:rsidRPr="0029304B" w:rsidRDefault="005917B0" w:rsidP="006B41F2">
      <w:pPr>
        <w:pStyle w:val="ListParagraph"/>
        <w:numPr>
          <w:ilvl w:val="0"/>
          <w:numId w:val="16"/>
        </w:numPr>
      </w:pPr>
      <w:r w:rsidRPr="0029304B">
        <w:t xml:space="preserve">A </w:t>
      </w:r>
      <w:r w:rsidR="00EE11C2" w:rsidRPr="0029304B">
        <w:t xml:space="preserve">local authority’s </w:t>
      </w:r>
      <w:r w:rsidRPr="0029304B">
        <w:t>capital expenditure on infrastructure for personal motor vehicles, whether from its own resources or as loans from external sources, may not constitute more than 33 per cent of total spending. Examples of such projects are: structures like flyovers and grade separators designed for better movement for personal motor vehicles, road widening, parking lots, and mechanised parking.</w:t>
      </w:r>
    </w:p>
    <w:p w14:paraId="4E76DE96" w14:textId="77777777" w:rsidR="005917B0" w:rsidRPr="0029304B" w:rsidRDefault="005917B0" w:rsidP="006B41F2">
      <w:pPr>
        <w:pStyle w:val="ListParagraph"/>
        <w:numPr>
          <w:ilvl w:val="0"/>
          <w:numId w:val="16"/>
        </w:numPr>
      </w:pPr>
      <w:r w:rsidRPr="0029304B">
        <w:t xml:space="preserve">The </w:t>
      </w:r>
      <w:r w:rsidR="00EE11C2" w:rsidRPr="0029304B">
        <w:t xml:space="preserve">local authority </w:t>
      </w:r>
      <w:r w:rsidRPr="0029304B">
        <w:t>must have an approved Sustainable Mobility Plan.</w:t>
      </w:r>
    </w:p>
    <w:p w14:paraId="41460412" w14:textId="77777777" w:rsidR="0017508E" w:rsidRPr="0029304B" w:rsidRDefault="005917B0" w:rsidP="005917B0">
      <w:r w:rsidRPr="0029304B">
        <w:t xml:space="preserve">If a </w:t>
      </w:r>
      <w:r w:rsidR="00EE11C2" w:rsidRPr="0029304B">
        <w:t xml:space="preserve">local authority </w:t>
      </w:r>
      <w:r w:rsidRPr="0029304B">
        <w:t xml:space="preserve">does not meet one or more of these conditions, national funding for new projects will be withheld. If the </w:t>
      </w:r>
      <w:r w:rsidR="00EE11C2" w:rsidRPr="0029304B">
        <w:t xml:space="preserve">local authority </w:t>
      </w:r>
      <w:r w:rsidRPr="0029304B">
        <w:t>does not meet these conditions for two or more consecutive years, all national funding for new and existing projects will be withheld</w:t>
      </w:r>
      <w:r w:rsidR="0017508E" w:rsidRPr="0029304B">
        <w:t>.</w:t>
      </w:r>
    </w:p>
    <w:p w14:paraId="36170FBD" w14:textId="141D470D" w:rsidR="005917B0" w:rsidRPr="0029304B" w:rsidRDefault="005917B0" w:rsidP="005917B0">
      <w:r w:rsidRPr="0029304B">
        <w:t>.</w:t>
      </w:r>
    </w:p>
    <w:p w14:paraId="2DC3A066" w14:textId="6CFFE7AA" w:rsidR="000E2568" w:rsidRPr="0029304B" w:rsidRDefault="000E2568" w:rsidP="000E2568">
      <w:pPr>
        <w:pStyle w:val="Heading2"/>
        <w:numPr>
          <w:ilvl w:val="1"/>
          <w:numId w:val="1"/>
        </w:numPr>
        <w:rPr>
          <w:lang w:val="en-GB"/>
        </w:rPr>
      </w:pPr>
      <w:bookmarkStart w:id="122" w:name="_Toc7200529"/>
      <w:r w:rsidRPr="0029304B">
        <w:rPr>
          <w:lang w:val="en-GB"/>
        </w:rPr>
        <w:t xml:space="preserve">Monitoring </w:t>
      </w:r>
      <w:r w:rsidR="00E06561">
        <w:rPr>
          <w:lang w:val="en-GB"/>
        </w:rPr>
        <w:t>&amp;</w:t>
      </w:r>
      <w:r w:rsidRPr="0029304B">
        <w:rPr>
          <w:lang w:val="en-GB"/>
        </w:rPr>
        <w:t xml:space="preserve"> evaluation</w:t>
      </w:r>
      <w:bookmarkEnd w:id="117"/>
      <w:bookmarkEnd w:id="118"/>
      <w:bookmarkEnd w:id="122"/>
    </w:p>
    <w:p w14:paraId="1AA0DEA0" w14:textId="075C2CB3" w:rsidR="00E06561" w:rsidRDefault="00E06561" w:rsidP="00FF14DE">
      <w:r>
        <w:t xml:space="preserve">Monitoring will consist of two </w:t>
      </w:r>
      <w:r w:rsidR="00B47CAC">
        <w:t xml:space="preserve">broad </w:t>
      </w:r>
      <w:r>
        <w:t>components:</w:t>
      </w:r>
    </w:p>
    <w:p w14:paraId="64DD2F44" w14:textId="615BAF53" w:rsidR="00E06561" w:rsidRDefault="00E06561" w:rsidP="006B41F2">
      <w:pPr>
        <w:pStyle w:val="ListParagraph"/>
        <w:numPr>
          <w:ilvl w:val="0"/>
          <w:numId w:val="20"/>
        </w:numPr>
      </w:pPr>
      <w:r>
        <w:t>Tracking of progress toward</w:t>
      </w:r>
      <w:r w:rsidR="00D5678B">
        <w:t xml:space="preserve"> </w:t>
      </w:r>
      <w:r w:rsidR="00B47CAC">
        <w:t>implementation targets (e.g., km of footpath, km of cycle tracks, number of managed parking spaces, etc.)</w:t>
      </w:r>
    </w:p>
    <w:p w14:paraId="448E651F" w14:textId="1C50790D" w:rsidR="00E06561" w:rsidRDefault="00E06561" w:rsidP="006B41F2">
      <w:pPr>
        <w:pStyle w:val="ListParagraph"/>
        <w:numPr>
          <w:ilvl w:val="0"/>
          <w:numId w:val="20"/>
        </w:numPr>
      </w:pPr>
      <w:r>
        <w:t xml:space="preserve">Measurement of </w:t>
      </w:r>
      <w:r w:rsidR="00B47CAC">
        <w:t xml:space="preserve">NMT Strategy outcomes (e.g., mode share of walking and cycling, VKT by personal motor vehicles, local air pollution levels, etc.) </w:t>
      </w:r>
    </w:p>
    <w:p w14:paraId="44ED419F" w14:textId="5D830A38" w:rsidR="00FF14DE" w:rsidRPr="0029304B" w:rsidRDefault="00FF14DE" w:rsidP="00FF14DE">
      <w:r w:rsidRPr="0029304B">
        <w:fldChar w:fldCharType="begin"/>
      </w:r>
      <w:r w:rsidRPr="0029304B">
        <w:instrText xml:space="preserve"> REF _Ref526258681 \h </w:instrText>
      </w:r>
      <w:r w:rsidRPr="0029304B">
        <w:fldChar w:fldCharType="separate"/>
      </w:r>
      <w:r w:rsidR="00C00481" w:rsidRPr="0029304B">
        <w:t xml:space="preserve">Table </w:t>
      </w:r>
      <w:r w:rsidR="00C00481">
        <w:rPr>
          <w:noProof/>
        </w:rPr>
        <w:t>7</w:t>
      </w:r>
      <w:r w:rsidRPr="0029304B">
        <w:fldChar w:fldCharType="end"/>
      </w:r>
      <w:r w:rsidRPr="0029304B">
        <w:t xml:space="preserve"> </w:t>
      </w:r>
      <w:r w:rsidR="00171B91">
        <w:t>lists the data sources for the tracking of these indicators</w:t>
      </w:r>
      <w:r w:rsidRPr="0029304B">
        <w:t>.</w:t>
      </w:r>
      <w:r w:rsidR="00FD3AEF">
        <w:t xml:space="preserve"> </w:t>
      </w:r>
      <w:r w:rsidR="00D22A47">
        <w:t>[TRANSPORT MINISTRY]</w:t>
      </w:r>
      <w:r w:rsidR="00FD3AEF">
        <w:t xml:space="preserve"> will consolidate information gathered by local authorities, national agencies, and other stakeholders.</w:t>
      </w:r>
    </w:p>
    <w:p w14:paraId="5CFB3F0F" w14:textId="77777777" w:rsidR="00FF14DE" w:rsidRPr="0029304B" w:rsidRDefault="00FF14DE" w:rsidP="00FF14DE"/>
    <w:p w14:paraId="2DAF1B89" w14:textId="2FC2FCDE" w:rsidR="00FF14DE" w:rsidRPr="0029304B" w:rsidRDefault="00FF14DE" w:rsidP="00FF14DE">
      <w:pPr>
        <w:pStyle w:val="Caption"/>
      </w:pPr>
      <w:bookmarkStart w:id="123" w:name="_Ref526258681"/>
      <w:r w:rsidRPr="0029304B">
        <w:t xml:space="preserve">Table </w:t>
      </w:r>
      <w:r w:rsidRPr="0029304B">
        <w:fldChar w:fldCharType="begin"/>
      </w:r>
      <w:r w:rsidRPr="0029304B">
        <w:instrText xml:space="preserve"> SEQ Table \* ARABIC </w:instrText>
      </w:r>
      <w:r w:rsidRPr="0029304B">
        <w:fldChar w:fldCharType="separate"/>
      </w:r>
      <w:r w:rsidR="00851657">
        <w:rPr>
          <w:noProof/>
        </w:rPr>
        <w:t>7</w:t>
      </w:r>
      <w:r w:rsidRPr="0029304B">
        <w:fldChar w:fldCharType="end"/>
      </w:r>
      <w:bookmarkEnd w:id="123"/>
      <w:r w:rsidRPr="0029304B">
        <w:t xml:space="preserve">: </w:t>
      </w:r>
      <w:r w:rsidR="00DE333A">
        <w:t>Data sources for performance</w:t>
      </w:r>
      <w:r w:rsidRPr="0029304B">
        <w:t xml:space="preserve"> indicators</w:t>
      </w:r>
    </w:p>
    <w:tbl>
      <w:tblPr>
        <w:tblStyle w:val="ITDPtable"/>
        <w:tblW w:w="0" w:type="auto"/>
        <w:tblLook w:val="04A0" w:firstRow="1" w:lastRow="0" w:firstColumn="1" w:lastColumn="0" w:noHBand="0" w:noVBand="1"/>
      </w:tblPr>
      <w:tblGrid>
        <w:gridCol w:w="3680"/>
        <w:gridCol w:w="2517"/>
        <w:gridCol w:w="2823"/>
      </w:tblGrid>
      <w:tr w:rsidR="00DE333A" w:rsidRPr="00761B24" w14:paraId="3DF0DDFC" w14:textId="43EBE82D" w:rsidTr="00DE333A">
        <w:trPr>
          <w:cnfStyle w:val="100000000000" w:firstRow="1" w:lastRow="0" w:firstColumn="0" w:lastColumn="0" w:oddVBand="0" w:evenVBand="0" w:oddHBand="0" w:evenHBand="0" w:firstRowFirstColumn="0" w:firstRowLastColumn="0" w:lastRowFirstColumn="0" w:lastRowLastColumn="0"/>
        </w:trPr>
        <w:tc>
          <w:tcPr>
            <w:tcW w:w="3680" w:type="dxa"/>
          </w:tcPr>
          <w:p w14:paraId="3263C162" w14:textId="0CC96CAF" w:rsidR="00DE333A" w:rsidRPr="00761B24" w:rsidRDefault="00DE333A" w:rsidP="00761B24">
            <w:pPr>
              <w:pStyle w:val="Tabletext"/>
            </w:pPr>
            <w:r>
              <w:t>Indicator</w:t>
            </w:r>
          </w:p>
        </w:tc>
        <w:tc>
          <w:tcPr>
            <w:tcW w:w="2517" w:type="dxa"/>
          </w:tcPr>
          <w:p w14:paraId="294D5BA1" w14:textId="1D217720" w:rsidR="00DE333A" w:rsidRDefault="00DE333A" w:rsidP="00761B24">
            <w:pPr>
              <w:pStyle w:val="Tabletext"/>
            </w:pPr>
            <w:r>
              <w:t>Type of indicator</w:t>
            </w:r>
          </w:p>
        </w:tc>
        <w:tc>
          <w:tcPr>
            <w:tcW w:w="2823" w:type="dxa"/>
          </w:tcPr>
          <w:p w14:paraId="4C36DF83" w14:textId="09053EF8" w:rsidR="00DE333A" w:rsidRDefault="00DE333A" w:rsidP="00761B24">
            <w:pPr>
              <w:pStyle w:val="Tabletext"/>
            </w:pPr>
            <w:r>
              <w:t>Data source(s)</w:t>
            </w:r>
          </w:p>
        </w:tc>
      </w:tr>
      <w:tr w:rsidR="00DE333A" w:rsidRPr="00761B24" w14:paraId="3423AEC8" w14:textId="77777777" w:rsidTr="00DE333A">
        <w:trPr>
          <w:cnfStyle w:val="000000100000" w:firstRow="0" w:lastRow="0" w:firstColumn="0" w:lastColumn="0" w:oddVBand="0" w:evenVBand="0" w:oddHBand="1" w:evenHBand="0" w:firstRowFirstColumn="0" w:firstRowLastColumn="0" w:lastRowFirstColumn="0" w:lastRowLastColumn="0"/>
        </w:trPr>
        <w:tc>
          <w:tcPr>
            <w:tcW w:w="3680" w:type="dxa"/>
          </w:tcPr>
          <w:p w14:paraId="4955A478" w14:textId="75CFB4FD" w:rsidR="00DE333A" w:rsidRPr="00761B24" w:rsidRDefault="00DE333A" w:rsidP="00171B91">
            <w:pPr>
              <w:pStyle w:val="Tabletext"/>
            </w:pPr>
            <w:r>
              <w:t>Length of street with footpaths, cycle tracks, traffic calming, universal access, and rapid transit</w:t>
            </w:r>
            <w:r w:rsidR="00363E4C">
              <w:t>.</w:t>
            </w:r>
          </w:p>
        </w:tc>
        <w:tc>
          <w:tcPr>
            <w:tcW w:w="2517" w:type="dxa"/>
          </w:tcPr>
          <w:p w14:paraId="60E0AC18" w14:textId="459EBE8A" w:rsidR="00DE333A" w:rsidRDefault="00DE333A" w:rsidP="00171B91">
            <w:pPr>
              <w:pStyle w:val="Tabletext"/>
            </w:pPr>
            <w:r>
              <w:t>Implementation target</w:t>
            </w:r>
          </w:p>
        </w:tc>
        <w:tc>
          <w:tcPr>
            <w:tcW w:w="2823" w:type="dxa"/>
          </w:tcPr>
          <w:p w14:paraId="75936F59" w14:textId="17C0F76C" w:rsidR="00DE333A" w:rsidRDefault="00DE333A" w:rsidP="00171B91">
            <w:pPr>
              <w:pStyle w:val="Tabletext"/>
            </w:pPr>
            <w:r>
              <w:t xml:space="preserve">Street audits and government records </w:t>
            </w:r>
          </w:p>
        </w:tc>
      </w:tr>
      <w:tr w:rsidR="00363E4C" w:rsidRPr="00761B24" w14:paraId="1B29C205" w14:textId="77777777" w:rsidTr="00DE333A">
        <w:trPr>
          <w:cnfStyle w:val="000000010000" w:firstRow="0" w:lastRow="0" w:firstColumn="0" w:lastColumn="0" w:oddVBand="0" w:evenVBand="0" w:oddHBand="0" w:evenHBand="1" w:firstRowFirstColumn="0" w:firstRowLastColumn="0" w:lastRowFirstColumn="0" w:lastRowLastColumn="0"/>
        </w:trPr>
        <w:tc>
          <w:tcPr>
            <w:tcW w:w="3680" w:type="dxa"/>
          </w:tcPr>
          <w:p w14:paraId="47FE99B5" w14:textId="6F574D9C" w:rsidR="00363E4C" w:rsidRDefault="00363E4C" w:rsidP="00171B91">
            <w:pPr>
              <w:pStyle w:val="Tabletext"/>
            </w:pPr>
            <w:r>
              <w:lastRenderedPageBreak/>
              <w:t>Fraction of schools with school zone elements.</w:t>
            </w:r>
          </w:p>
        </w:tc>
        <w:tc>
          <w:tcPr>
            <w:tcW w:w="2517" w:type="dxa"/>
          </w:tcPr>
          <w:p w14:paraId="0D5B8B43" w14:textId="7822DBA0" w:rsidR="00363E4C" w:rsidRDefault="00363E4C" w:rsidP="00171B91">
            <w:pPr>
              <w:pStyle w:val="Tabletext"/>
            </w:pPr>
            <w:r>
              <w:t>Implementation target</w:t>
            </w:r>
          </w:p>
        </w:tc>
        <w:tc>
          <w:tcPr>
            <w:tcW w:w="2823" w:type="dxa"/>
          </w:tcPr>
          <w:p w14:paraId="0BFA44B0" w14:textId="2FAA6638" w:rsidR="00363E4C" w:rsidRDefault="00363E4C" w:rsidP="00171B91">
            <w:pPr>
              <w:pStyle w:val="Tabletext"/>
            </w:pPr>
            <w:r>
              <w:t>Government records</w:t>
            </w:r>
          </w:p>
        </w:tc>
      </w:tr>
      <w:tr w:rsidR="00DE333A" w:rsidRPr="00761B24" w14:paraId="7AB57E22" w14:textId="77777777" w:rsidTr="00DE333A">
        <w:trPr>
          <w:cnfStyle w:val="000000100000" w:firstRow="0" w:lastRow="0" w:firstColumn="0" w:lastColumn="0" w:oddVBand="0" w:evenVBand="0" w:oddHBand="1" w:evenHBand="0" w:firstRowFirstColumn="0" w:firstRowLastColumn="0" w:lastRowFirstColumn="0" w:lastRowLastColumn="0"/>
        </w:trPr>
        <w:tc>
          <w:tcPr>
            <w:tcW w:w="3680" w:type="dxa"/>
          </w:tcPr>
          <w:p w14:paraId="55431864" w14:textId="57E831DB" w:rsidR="00DE333A" w:rsidRDefault="00DE333A" w:rsidP="00171B91">
            <w:pPr>
              <w:pStyle w:val="Tabletext"/>
            </w:pPr>
            <w:r>
              <w:t>Number of managed parking spaces</w:t>
            </w:r>
          </w:p>
        </w:tc>
        <w:tc>
          <w:tcPr>
            <w:tcW w:w="2517" w:type="dxa"/>
          </w:tcPr>
          <w:p w14:paraId="283929C8" w14:textId="1586B417" w:rsidR="00DE333A" w:rsidRDefault="00DE333A" w:rsidP="00171B91">
            <w:pPr>
              <w:pStyle w:val="Tabletext"/>
            </w:pPr>
            <w:r>
              <w:t>Implementation target</w:t>
            </w:r>
          </w:p>
        </w:tc>
        <w:tc>
          <w:tcPr>
            <w:tcW w:w="2823" w:type="dxa"/>
          </w:tcPr>
          <w:p w14:paraId="0A0B9DE8" w14:textId="263707F6" w:rsidR="00DE333A" w:rsidRDefault="00DE333A" w:rsidP="00171B91">
            <w:pPr>
              <w:pStyle w:val="Tabletext"/>
            </w:pPr>
            <w:r>
              <w:t>Government records</w:t>
            </w:r>
          </w:p>
        </w:tc>
      </w:tr>
      <w:tr w:rsidR="00DE333A" w:rsidRPr="00761B24" w14:paraId="55CB456F" w14:textId="77777777" w:rsidTr="00DE333A">
        <w:trPr>
          <w:cnfStyle w:val="000000010000" w:firstRow="0" w:lastRow="0" w:firstColumn="0" w:lastColumn="0" w:oddVBand="0" w:evenVBand="0" w:oddHBand="0" w:evenHBand="1" w:firstRowFirstColumn="0" w:firstRowLastColumn="0" w:lastRowFirstColumn="0" w:lastRowLastColumn="0"/>
        </w:trPr>
        <w:tc>
          <w:tcPr>
            <w:tcW w:w="3680" w:type="dxa"/>
          </w:tcPr>
          <w:p w14:paraId="20277030" w14:textId="0134EE92" w:rsidR="00DE333A" w:rsidRPr="00761B24" w:rsidRDefault="00DE333A" w:rsidP="00171B91">
            <w:pPr>
              <w:pStyle w:val="Tabletext"/>
            </w:pPr>
            <w:r>
              <w:t>Number of bicycles available in bicycle sharing systems</w:t>
            </w:r>
          </w:p>
        </w:tc>
        <w:tc>
          <w:tcPr>
            <w:tcW w:w="2517" w:type="dxa"/>
          </w:tcPr>
          <w:p w14:paraId="318AD122" w14:textId="6BB79C56" w:rsidR="00DE333A" w:rsidRDefault="00DE333A" w:rsidP="00171B91">
            <w:pPr>
              <w:pStyle w:val="Tabletext"/>
            </w:pPr>
            <w:r>
              <w:t>Implementation target</w:t>
            </w:r>
          </w:p>
        </w:tc>
        <w:tc>
          <w:tcPr>
            <w:tcW w:w="2823" w:type="dxa"/>
          </w:tcPr>
          <w:p w14:paraId="2407AED7" w14:textId="3404A716" w:rsidR="00DE333A" w:rsidRDefault="00DE333A" w:rsidP="00171B91">
            <w:pPr>
              <w:pStyle w:val="Tabletext"/>
            </w:pPr>
            <w:r>
              <w:t>Government records</w:t>
            </w:r>
          </w:p>
        </w:tc>
      </w:tr>
      <w:tr w:rsidR="00DE333A" w:rsidRPr="00761B24" w14:paraId="202AD6FC" w14:textId="77777777" w:rsidTr="00DE333A">
        <w:trPr>
          <w:cnfStyle w:val="000000100000" w:firstRow="0" w:lastRow="0" w:firstColumn="0" w:lastColumn="0" w:oddVBand="0" w:evenVBand="0" w:oddHBand="1" w:evenHBand="0" w:firstRowFirstColumn="0" w:firstRowLastColumn="0" w:lastRowFirstColumn="0" w:lastRowLastColumn="0"/>
        </w:trPr>
        <w:tc>
          <w:tcPr>
            <w:tcW w:w="3680" w:type="dxa"/>
          </w:tcPr>
          <w:p w14:paraId="0CF292CE" w14:textId="1376A928" w:rsidR="00DE333A" w:rsidRPr="00761B24" w:rsidRDefault="00DE333A" w:rsidP="00171B91">
            <w:pPr>
              <w:pStyle w:val="Tabletext"/>
            </w:pPr>
            <w:r>
              <w:t>Adoption of TOD policies</w:t>
            </w:r>
          </w:p>
        </w:tc>
        <w:tc>
          <w:tcPr>
            <w:tcW w:w="2517" w:type="dxa"/>
          </w:tcPr>
          <w:p w14:paraId="69046CAC" w14:textId="7DF5821B" w:rsidR="00DE333A" w:rsidRDefault="00DE333A" w:rsidP="00171B91">
            <w:pPr>
              <w:pStyle w:val="Tabletext"/>
            </w:pPr>
            <w:r>
              <w:t>Implementation target</w:t>
            </w:r>
          </w:p>
        </w:tc>
        <w:tc>
          <w:tcPr>
            <w:tcW w:w="2823" w:type="dxa"/>
          </w:tcPr>
          <w:p w14:paraId="50F69E7C" w14:textId="3585CC89" w:rsidR="00DE333A" w:rsidRDefault="00DE333A" w:rsidP="00171B91">
            <w:pPr>
              <w:pStyle w:val="Tabletext"/>
            </w:pPr>
            <w:r>
              <w:t>Government records</w:t>
            </w:r>
          </w:p>
        </w:tc>
      </w:tr>
      <w:tr w:rsidR="00DE333A" w:rsidRPr="00761B24" w14:paraId="6716FE5A" w14:textId="77777777" w:rsidTr="00DE333A">
        <w:trPr>
          <w:cnfStyle w:val="000000010000" w:firstRow="0" w:lastRow="0" w:firstColumn="0" w:lastColumn="0" w:oddVBand="0" w:evenVBand="0" w:oddHBand="0" w:evenHBand="1" w:firstRowFirstColumn="0" w:firstRowLastColumn="0" w:lastRowFirstColumn="0" w:lastRowLastColumn="0"/>
        </w:trPr>
        <w:tc>
          <w:tcPr>
            <w:tcW w:w="3680" w:type="dxa"/>
          </w:tcPr>
          <w:p w14:paraId="7CAE072A" w14:textId="68631F79" w:rsidR="00DE333A" w:rsidRDefault="00DE333A" w:rsidP="00171B91">
            <w:pPr>
              <w:pStyle w:val="Tabletext"/>
            </w:pPr>
            <w:r>
              <w:t>Spending on NMT-related communication campaigns</w:t>
            </w:r>
          </w:p>
        </w:tc>
        <w:tc>
          <w:tcPr>
            <w:tcW w:w="2517" w:type="dxa"/>
          </w:tcPr>
          <w:p w14:paraId="0451DD13" w14:textId="4E8D312E" w:rsidR="00DE333A" w:rsidRDefault="00DE333A" w:rsidP="00171B91">
            <w:pPr>
              <w:pStyle w:val="Tabletext"/>
            </w:pPr>
            <w:r>
              <w:t>Implementation target</w:t>
            </w:r>
          </w:p>
        </w:tc>
        <w:tc>
          <w:tcPr>
            <w:tcW w:w="2823" w:type="dxa"/>
          </w:tcPr>
          <w:p w14:paraId="3B55D69C" w14:textId="69C9F892" w:rsidR="00DE333A" w:rsidRDefault="00DE333A" w:rsidP="00171B91">
            <w:pPr>
              <w:pStyle w:val="Tabletext"/>
            </w:pPr>
            <w:r>
              <w:t>Government records</w:t>
            </w:r>
          </w:p>
        </w:tc>
      </w:tr>
      <w:tr w:rsidR="00DE333A" w:rsidRPr="00761B24" w14:paraId="70A24A6C" w14:textId="77777777" w:rsidTr="00DE333A">
        <w:trPr>
          <w:cnfStyle w:val="000000100000" w:firstRow="0" w:lastRow="0" w:firstColumn="0" w:lastColumn="0" w:oddVBand="0" w:evenVBand="0" w:oddHBand="1" w:evenHBand="0" w:firstRowFirstColumn="0" w:firstRowLastColumn="0" w:lastRowFirstColumn="0" w:lastRowLastColumn="0"/>
        </w:trPr>
        <w:tc>
          <w:tcPr>
            <w:tcW w:w="3680" w:type="dxa"/>
          </w:tcPr>
          <w:p w14:paraId="6F086DC2" w14:textId="2A817A2D" w:rsidR="00DE333A" w:rsidRDefault="00DE333A" w:rsidP="00171B91">
            <w:pPr>
              <w:pStyle w:val="Tabletext"/>
            </w:pPr>
            <w:r>
              <w:t>Removal of tariffs on bicycles</w:t>
            </w:r>
          </w:p>
        </w:tc>
        <w:tc>
          <w:tcPr>
            <w:tcW w:w="2517" w:type="dxa"/>
          </w:tcPr>
          <w:p w14:paraId="730A7DA9" w14:textId="19A496CB" w:rsidR="00DE333A" w:rsidRDefault="00DE333A" w:rsidP="00171B91">
            <w:pPr>
              <w:pStyle w:val="Tabletext"/>
            </w:pPr>
            <w:r>
              <w:t>Implementation target</w:t>
            </w:r>
          </w:p>
        </w:tc>
        <w:tc>
          <w:tcPr>
            <w:tcW w:w="2823" w:type="dxa"/>
          </w:tcPr>
          <w:p w14:paraId="3167A7EF" w14:textId="539AC1D2" w:rsidR="00DE333A" w:rsidRDefault="00DE333A" w:rsidP="00171B91">
            <w:pPr>
              <w:pStyle w:val="Tabletext"/>
            </w:pPr>
            <w:r>
              <w:t>Government records</w:t>
            </w:r>
          </w:p>
        </w:tc>
      </w:tr>
      <w:tr w:rsidR="00DE333A" w:rsidRPr="00761B24" w14:paraId="59E18344" w14:textId="70298445" w:rsidTr="00DE333A">
        <w:trPr>
          <w:cnfStyle w:val="000000010000" w:firstRow="0" w:lastRow="0" w:firstColumn="0" w:lastColumn="0" w:oddVBand="0" w:evenVBand="0" w:oddHBand="0" w:evenHBand="1" w:firstRowFirstColumn="0" w:firstRowLastColumn="0" w:lastRowFirstColumn="0" w:lastRowLastColumn="0"/>
        </w:trPr>
        <w:tc>
          <w:tcPr>
            <w:tcW w:w="3680" w:type="dxa"/>
          </w:tcPr>
          <w:p w14:paraId="1CB27E8F" w14:textId="46E4E0E2" w:rsidR="00DE333A" w:rsidRPr="00761B24" w:rsidRDefault="00DE333A" w:rsidP="00171B91">
            <w:pPr>
              <w:pStyle w:val="Tabletext"/>
            </w:pPr>
            <w:r w:rsidRPr="00761B24">
              <w:t>Fatalities of pedestrians and cyclists</w:t>
            </w:r>
          </w:p>
        </w:tc>
        <w:tc>
          <w:tcPr>
            <w:tcW w:w="2517" w:type="dxa"/>
          </w:tcPr>
          <w:p w14:paraId="7D0C6992" w14:textId="070E7FBD" w:rsidR="00DE333A" w:rsidRDefault="00DE333A" w:rsidP="00171B91">
            <w:pPr>
              <w:pStyle w:val="Tabletext"/>
            </w:pPr>
            <w:r>
              <w:t>Outcome</w:t>
            </w:r>
          </w:p>
        </w:tc>
        <w:tc>
          <w:tcPr>
            <w:tcW w:w="2823" w:type="dxa"/>
          </w:tcPr>
          <w:p w14:paraId="03C4498D" w14:textId="05C02457" w:rsidR="00DE333A" w:rsidRPr="00761B24" w:rsidRDefault="00DE333A" w:rsidP="00171B91">
            <w:pPr>
              <w:pStyle w:val="Tabletext"/>
            </w:pPr>
            <w:r>
              <w:t>Traffic Police records</w:t>
            </w:r>
          </w:p>
        </w:tc>
      </w:tr>
      <w:tr w:rsidR="00DE333A" w:rsidRPr="00761B24" w14:paraId="0EAA6887" w14:textId="1C464AB7" w:rsidTr="00DE333A">
        <w:trPr>
          <w:cnfStyle w:val="000000100000" w:firstRow="0" w:lastRow="0" w:firstColumn="0" w:lastColumn="0" w:oddVBand="0" w:evenVBand="0" w:oddHBand="1" w:evenHBand="0" w:firstRowFirstColumn="0" w:firstRowLastColumn="0" w:lastRowFirstColumn="0" w:lastRowLastColumn="0"/>
        </w:trPr>
        <w:tc>
          <w:tcPr>
            <w:tcW w:w="3680" w:type="dxa"/>
          </w:tcPr>
          <w:p w14:paraId="7BDF43CE" w14:textId="7AC40A7A" w:rsidR="00DE333A" w:rsidRPr="00761B24" w:rsidRDefault="00DE333A" w:rsidP="00171B91">
            <w:pPr>
              <w:pStyle w:val="Tabletext"/>
            </w:pPr>
            <w:r w:rsidRPr="00761B24">
              <w:t xml:space="preserve">Mode share of NMT </w:t>
            </w:r>
            <w:r>
              <w:t>and motorised trips</w:t>
            </w:r>
          </w:p>
        </w:tc>
        <w:tc>
          <w:tcPr>
            <w:tcW w:w="2517" w:type="dxa"/>
          </w:tcPr>
          <w:p w14:paraId="5115652B" w14:textId="6EF548CD" w:rsidR="00DE333A" w:rsidRDefault="00DE333A" w:rsidP="00171B91">
            <w:pPr>
              <w:pStyle w:val="Tabletext"/>
            </w:pPr>
            <w:r>
              <w:t>Outcome</w:t>
            </w:r>
          </w:p>
        </w:tc>
        <w:tc>
          <w:tcPr>
            <w:tcW w:w="2823" w:type="dxa"/>
          </w:tcPr>
          <w:p w14:paraId="4FAD1390" w14:textId="603AF6A8" w:rsidR="00DE333A" w:rsidRPr="00761B24" w:rsidRDefault="00DE333A" w:rsidP="00171B91">
            <w:pPr>
              <w:pStyle w:val="Tabletext"/>
            </w:pPr>
            <w:r>
              <w:t>Household surveys</w:t>
            </w:r>
          </w:p>
        </w:tc>
      </w:tr>
      <w:tr w:rsidR="00DE333A" w:rsidRPr="00761B24" w14:paraId="0FA2BA5C" w14:textId="77777777" w:rsidTr="00DE333A">
        <w:trPr>
          <w:cnfStyle w:val="000000010000" w:firstRow="0" w:lastRow="0" w:firstColumn="0" w:lastColumn="0" w:oddVBand="0" w:evenVBand="0" w:oddHBand="0" w:evenHBand="1" w:firstRowFirstColumn="0" w:firstRowLastColumn="0" w:lastRowFirstColumn="0" w:lastRowLastColumn="0"/>
        </w:trPr>
        <w:tc>
          <w:tcPr>
            <w:tcW w:w="3680" w:type="dxa"/>
          </w:tcPr>
          <w:p w14:paraId="5125CE28" w14:textId="4986D37D" w:rsidR="00DE333A" w:rsidRDefault="00DE333A" w:rsidP="00171B91">
            <w:pPr>
              <w:pStyle w:val="Tabletext"/>
            </w:pPr>
            <w:r w:rsidRPr="00761B24">
              <w:t>Vehicle kilometres travelled (VKT) by PMVs</w:t>
            </w:r>
          </w:p>
        </w:tc>
        <w:tc>
          <w:tcPr>
            <w:tcW w:w="2517" w:type="dxa"/>
          </w:tcPr>
          <w:p w14:paraId="21940A87" w14:textId="52F6E552" w:rsidR="00DE333A" w:rsidRDefault="00DE333A" w:rsidP="00171B91">
            <w:pPr>
              <w:pStyle w:val="Tabletext"/>
            </w:pPr>
            <w:r>
              <w:t>Outcome</w:t>
            </w:r>
          </w:p>
        </w:tc>
        <w:tc>
          <w:tcPr>
            <w:tcW w:w="2823" w:type="dxa"/>
          </w:tcPr>
          <w:p w14:paraId="3262B411" w14:textId="3CD7102B" w:rsidR="00DE333A" w:rsidRDefault="00DE333A" w:rsidP="00171B91">
            <w:pPr>
              <w:pStyle w:val="Tabletext"/>
            </w:pPr>
            <w:r>
              <w:t>Household surveys</w:t>
            </w:r>
          </w:p>
        </w:tc>
      </w:tr>
      <w:tr w:rsidR="00DE333A" w:rsidRPr="00761B24" w14:paraId="23FED8CF" w14:textId="77777777" w:rsidTr="00DE333A">
        <w:trPr>
          <w:cnfStyle w:val="000000100000" w:firstRow="0" w:lastRow="0" w:firstColumn="0" w:lastColumn="0" w:oddVBand="0" w:evenVBand="0" w:oddHBand="1" w:evenHBand="0" w:firstRowFirstColumn="0" w:firstRowLastColumn="0" w:lastRowFirstColumn="0" w:lastRowLastColumn="0"/>
        </w:trPr>
        <w:tc>
          <w:tcPr>
            <w:tcW w:w="3680" w:type="dxa"/>
          </w:tcPr>
          <w:p w14:paraId="2C27CC45" w14:textId="0A77045C" w:rsidR="00DE333A" w:rsidRPr="00761B24" w:rsidRDefault="00DE333A" w:rsidP="00171B91">
            <w:pPr>
              <w:pStyle w:val="Tabletext"/>
            </w:pPr>
            <w:r>
              <w:t>Fraction of cyclists who are women</w:t>
            </w:r>
          </w:p>
        </w:tc>
        <w:tc>
          <w:tcPr>
            <w:tcW w:w="2517" w:type="dxa"/>
          </w:tcPr>
          <w:p w14:paraId="7C44BF3B" w14:textId="64C85693" w:rsidR="00DE333A" w:rsidRDefault="00DE333A" w:rsidP="00171B91">
            <w:pPr>
              <w:pStyle w:val="Tabletext"/>
            </w:pPr>
            <w:r>
              <w:t>Outcome</w:t>
            </w:r>
          </w:p>
        </w:tc>
        <w:tc>
          <w:tcPr>
            <w:tcW w:w="2823" w:type="dxa"/>
          </w:tcPr>
          <w:p w14:paraId="0DD448F0" w14:textId="4764ACC4" w:rsidR="00DE333A" w:rsidRPr="00761B24" w:rsidRDefault="00DE333A" w:rsidP="00171B91">
            <w:pPr>
              <w:pStyle w:val="Tabletext"/>
            </w:pPr>
            <w:r>
              <w:t>Traffic counts</w:t>
            </w:r>
          </w:p>
        </w:tc>
      </w:tr>
      <w:tr w:rsidR="00DE333A" w:rsidRPr="00761B24" w14:paraId="559B9007" w14:textId="3DD46749" w:rsidTr="00DE333A">
        <w:trPr>
          <w:cnfStyle w:val="000000010000" w:firstRow="0" w:lastRow="0" w:firstColumn="0" w:lastColumn="0" w:oddVBand="0" w:evenVBand="0" w:oddHBand="0" w:evenHBand="1" w:firstRowFirstColumn="0" w:firstRowLastColumn="0" w:lastRowFirstColumn="0" w:lastRowLastColumn="0"/>
        </w:trPr>
        <w:tc>
          <w:tcPr>
            <w:tcW w:w="3680" w:type="dxa"/>
          </w:tcPr>
          <w:p w14:paraId="1EB5112E" w14:textId="136AA837" w:rsidR="00DE333A" w:rsidRPr="00761B24" w:rsidRDefault="00DE333A" w:rsidP="00171B91">
            <w:pPr>
              <w:pStyle w:val="Tabletext"/>
            </w:pPr>
            <w:r>
              <w:t>Ambient air pollution levels</w:t>
            </w:r>
          </w:p>
        </w:tc>
        <w:tc>
          <w:tcPr>
            <w:tcW w:w="2517" w:type="dxa"/>
          </w:tcPr>
          <w:p w14:paraId="010D12CB" w14:textId="74AE32CB" w:rsidR="00DE333A" w:rsidRDefault="00DE333A" w:rsidP="00171B91">
            <w:pPr>
              <w:pStyle w:val="Tabletext"/>
            </w:pPr>
            <w:r>
              <w:t>Outcome</w:t>
            </w:r>
          </w:p>
        </w:tc>
        <w:tc>
          <w:tcPr>
            <w:tcW w:w="2823" w:type="dxa"/>
          </w:tcPr>
          <w:p w14:paraId="188B2B8C" w14:textId="74692714" w:rsidR="00DE333A" w:rsidRPr="00761B24" w:rsidRDefault="00DE333A" w:rsidP="00171B91">
            <w:pPr>
              <w:pStyle w:val="Tabletext"/>
            </w:pPr>
            <w:r>
              <w:t>Pollution monitoring devices</w:t>
            </w:r>
          </w:p>
        </w:tc>
      </w:tr>
      <w:tr w:rsidR="00DE333A" w:rsidRPr="00761B24" w14:paraId="1069A252" w14:textId="2E124D09" w:rsidTr="00DE333A">
        <w:trPr>
          <w:cnfStyle w:val="000000100000" w:firstRow="0" w:lastRow="0" w:firstColumn="0" w:lastColumn="0" w:oddVBand="0" w:evenVBand="0" w:oddHBand="1" w:evenHBand="0" w:firstRowFirstColumn="0" w:firstRowLastColumn="0" w:lastRowFirstColumn="0" w:lastRowLastColumn="0"/>
          <w:trHeight w:val="16"/>
        </w:trPr>
        <w:tc>
          <w:tcPr>
            <w:tcW w:w="3680" w:type="dxa"/>
          </w:tcPr>
          <w:p w14:paraId="7C16C3FC" w14:textId="06CC786D" w:rsidR="00DE333A" w:rsidRPr="00761B24" w:rsidRDefault="00DE333A" w:rsidP="00171B91">
            <w:pPr>
              <w:pStyle w:val="Tabletext"/>
            </w:pPr>
            <w:r w:rsidRPr="00761B24">
              <w:t xml:space="preserve">Greenhouse gas emissions </w:t>
            </w:r>
            <w:r>
              <w:t>from transport</w:t>
            </w:r>
          </w:p>
        </w:tc>
        <w:tc>
          <w:tcPr>
            <w:tcW w:w="2517" w:type="dxa"/>
          </w:tcPr>
          <w:p w14:paraId="4A25A784" w14:textId="59DF9D71" w:rsidR="00DE333A" w:rsidRDefault="00DE333A" w:rsidP="00171B91">
            <w:pPr>
              <w:pStyle w:val="Tabletext"/>
            </w:pPr>
            <w:r>
              <w:t>Outcome</w:t>
            </w:r>
          </w:p>
        </w:tc>
        <w:tc>
          <w:tcPr>
            <w:tcW w:w="2823" w:type="dxa"/>
          </w:tcPr>
          <w:p w14:paraId="0F222E6F" w14:textId="6D96B834" w:rsidR="00DE333A" w:rsidRPr="00761B24" w:rsidRDefault="00DE333A" w:rsidP="00171B91">
            <w:pPr>
              <w:pStyle w:val="Tabletext"/>
            </w:pPr>
            <w:r>
              <w:t>Emissions inventory</w:t>
            </w:r>
          </w:p>
        </w:tc>
      </w:tr>
    </w:tbl>
    <w:p w14:paraId="69F4AB25" w14:textId="77777777" w:rsidR="00FF14DE" w:rsidRPr="0029304B" w:rsidRDefault="00FF14DE" w:rsidP="00FF14DE"/>
    <w:p w14:paraId="717CFB4A" w14:textId="2B3FB5CB" w:rsidR="00FD3AEF" w:rsidRDefault="00FF14DE" w:rsidP="00FF14DE">
      <w:r w:rsidRPr="0029304B">
        <w:t xml:space="preserve">To inform measurement of these indicators, </w:t>
      </w:r>
      <w:r w:rsidR="000B50EB">
        <w:t>initial</w:t>
      </w:r>
      <w:r w:rsidRPr="0029304B">
        <w:t xml:space="preserve"> </w:t>
      </w:r>
      <w:r w:rsidR="000B50EB" w:rsidRPr="0029304B">
        <w:t xml:space="preserve">NMT </w:t>
      </w:r>
      <w:r w:rsidR="000B50EB">
        <w:t>facility</w:t>
      </w:r>
      <w:r w:rsidR="000B50EB" w:rsidRPr="0029304B">
        <w:t xml:space="preserve"> </w:t>
      </w:r>
      <w:r w:rsidRPr="0029304B">
        <w:t xml:space="preserve">audits </w:t>
      </w:r>
      <w:r w:rsidR="000B50EB">
        <w:t xml:space="preserve">should be conducted by all local authorities. The audit will document the current extent of footpaths, cycle tracks, and other NMT elements. </w:t>
      </w:r>
      <w:r w:rsidR="00FD3AEF">
        <w:t>In each city, the</w:t>
      </w:r>
      <w:r w:rsidR="00FD3AEF" w:rsidRPr="0029304B">
        <w:t xml:space="preserve"> information </w:t>
      </w:r>
      <w:r w:rsidR="00FD3AEF">
        <w:t>should</w:t>
      </w:r>
      <w:r w:rsidR="00FD3AEF" w:rsidRPr="0029304B">
        <w:t xml:space="preserve"> be stored in </w:t>
      </w:r>
      <w:r w:rsidR="00FD3AEF">
        <w:t xml:space="preserve">citywide </w:t>
      </w:r>
      <w:r w:rsidR="00FD3AEF" w:rsidRPr="0029304B">
        <w:t>asset management system built on a Geographic Information Systems (GIS) platform.</w:t>
      </w:r>
      <w:r w:rsidR="00FD3AEF">
        <w:t xml:space="preserve"> Over time, this database can be updated when street improvement projects are implemented on particular corridors. Other implementation target indicators can be measured directly through government data and records. </w:t>
      </w:r>
    </w:p>
    <w:p w14:paraId="065F5D53" w14:textId="4A565EF5" w:rsidR="00800A61" w:rsidRDefault="00FD3AEF" w:rsidP="00FD3AEF">
      <w:pPr>
        <w:sectPr w:rsidR="00800A61" w:rsidSect="00EC4A05">
          <w:pgSz w:w="11900" w:h="16840"/>
          <w:pgMar w:top="1440" w:right="1440" w:bottom="1440" w:left="1440" w:header="720" w:footer="864" w:gutter="0"/>
          <w:pgNumType w:start="1"/>
          <w:cols w:space="720"/>
        </w:sectPr>
      </w:pPr>
      <w:r>
        <w:t xml:space="preserve">For the outcome indicators, some new data collection efforts will be required. In </w:t>
      </w:r>
      <w:proofErr w:type="gramStart"/>
      <w:r>
        <w:t xml:space="preserve">particular,  </w:t>
      </w:r>
      <w:r w:rsidRPr="0029304B">
        <w:t>information</w:t>
      </w:r>
      <w:proofErr w:type="gramEnd"/>
      <w:r w:rsidRPr="0029304B">
        <w:t xml:space="preserve"> on mode shares and travel patterns </w:t>
      </w:r>
      <w:r>
        <w:t xml:space="preserve">will be </w:t>
      </w:r>
      <w:r w:rsidRPr="0029304B">
        <w:t>obtained from household surveys</w:t>
      </w:r>
      <w:r>
        <w:t xml:space="preserve"> conducted on a regular basis (e.g., every 5 years). In addition, gender disaggregated counts will be required to document volumes of NMT users, including the fraction of users who are women. Air pollution monitoring devices will be needed to measure ambient concentrations of local pollutants.</w:t>
      </w:r>
    </w:p>
    <w:p w14:paraId="54B62F3D" w14:textId="26639515" w:rsidR="00FF3071" w:rsidRDefault="00800A61" w:rsidP="00800A61">
      <w:pPr>
        <w:pStyle w:val="Heading1"/>
      </w:pPr>
      <w:bookmarkStart w:id="124" w:name="_Toc7200530"/>
      <w:r>
        <w:lastRenderedPageBreak/>
        <w:t>Action plan</w:t>
      </w:r>
      <w:bookmarkEnd w:id="124"/>
    </w:p>
    <w:p w14:paraId="15C31992" w14:textId="1490149D" w:rsidR="00AE3FC8" w:rsidRDefault="00AE3FC8" w:rsidP="000E2568">
      <w:r>
        <w:t xml:space="preserve">The following table describes </w:t>
      </w:r>
      <w:r w:rsidR="00187CC6">
        <w:t>planned implementation activities for the first three years following adoption of the NMT Strategy</w:t>
      </w:r>
      <w:r>
        <w:t>.</w:t>
      </w:r>
      <w:r w:rsidR="00890CFC">
        <w:t xml:space="preserve"> The pace of multiyear activities has been calibrated to meet the NMT Strategy goals by the end of the 10-year period.</w:t>
      </w:r>
    </w:p>
    <w:p w14:paraId="3214B417" w14:textId="666BA2D8" w:rsidR="00621DDA" w:rsidRDefault="00621DDA" w:rsidP="00621DDA">
      <w:pPr>
        <w:pStyle w:val="Caption"/>
      </w:pPr>
      <w:r>
        <w:t xml:space="preserve">Table </w:t>
      </w:r>
      <w:r>
        <w:fldChar w:fldCharType="begin"/>
      </w:r>
      <w:r>
        <w:instrText xml:space="preserve"> SEQ Table \* ARABIC </w:instrText>
      </w:r>
      <w:r>
        <w:fldChar w:fldCharType="separate"/>
      </w:r>
      <w:r w:rsidR="00851657">
        <w:rPr>
          <w:noProof/>
        </w:rPr>
        <w:t>8</w:t>
      </w:r>
      <w:r>
        <w:fldChar w:fldCharType="end"/>
      </w:r>
      <w:r>
        <w:t>. Action items</w:t>
      </w:r>
    </w:p>
    <w:tbl>
      <w:tblPr>
        <w:tblStyle w:val="TableGridLight1"/>
        <w:tblW w:w="5049" w:type="pct"/>
        <w:tblLook w:val="04A0" w:firstRow="1" w:lastRow="0" w:firstColumn="1" w:lastColumn="0" w:noHBand="0" w:noVBand="1"/>
      </w:tblPr>
      <w:tblGrid>
        <w:gridCol w:w="2500"/>
        <w:gridCol w:w="3935"/>
        <w:gridCol w:w="1519"/>
        <w:gridCol w:w="1761"/>
        <w:gridCol w:w="2097"/>
        <w:gridCol w:w="2275"/>
      </w:tblGrid>
      <w:tr w:rsidR="00800A61" w:rsidRPr="001D2186" w14:paraId="7F335B36" w14:textId="77777777" w:rsidTr="003F3FA1">
        <w:trPr>
          <w:cnfStyle w:val="100000000000" w:firstRow="1" w:lastRow="0" w:firstColumn="0" w:lastColumn="0" w:oddVBand="0" w:evenVBand="0" w:oddHBand="0" w:evenHBand="0" w:firstRowFirstColumn="0" w:firstRowLastColumn="0" w:lastRowFirstColumn="0" w:lastRowLastColumn="0"/>
          <w:cantSplit/>
          <w:tblHeader/>
        </w:trPr>
        <w:tc>
          <w:tcPr>
            <w:tcW w:w="2500" w:type="dxa"/>
          </w:tcPr>
          <w:p w14:paraId="256F1340" w14:textId="77777777" w:rsidR="00800A61" w:rsidRPr="001D2186" w:rsidRDefault="00800A61" w:rsidP="001D2186">
            <w:pPr>
              <w:pStyle w:val="Tabletext"/>
            </w:pPr>
            <w:r w:rsidRPr="001D2186">
              <w:t>Initiative</w:t>
            </w:r>
          </w:p>
        </w:tc>
        <w:tc>
          <w:tcPr>
            <w:tcW w:w="3935" w:type="dxa"/>
          </w:tcPr>
          <w:p w14:paraId="31424A9A" w14:textId="77777777" w:rsidR="00800A61" w:rsidRPr="001D2186" w:rsidRDefault="00800A61" w:rsidP="001D2186">
            <w:pPr>
              <w:pStyle w:val="Tabletext"/>
            </w:pPr>
            <w:r w:rsidRPr="001D2186">
              <w:t>Action steps</w:t>
            </w:r>
          </w:p>
        </w:tc>
        <w:tc>
          <w:tcPr>
            <w:tcW w:w="1519" w:type="dxa"/>
          </w:tcPr>
          <w:p w14:paraId="5734D34E" w14:textId="77777777" w:rsidR="00800A61" w:rsidRPr="001D2186" w:rsidRDefault="00800A61" w:rsidP="001D2186">
            <w:pPr>
              <w:pStyle w:val="Tabletext"/>
            </w:pPr>
            <w:r w:rsidRPr="001D2186">
              <w:t>Primary agency responsible</w:t>
            </w:r>
          </w:p>
        </w:tc>
        <w:tc>
          <w:tcPr>
            <w:tcW w:w="1761" w:type="dxa"/>
          </w:tcPr>
          <w:p w14:paraId="209B3D9E" w14:textId="77777777" w:rsidR="00800A61" w:rsidRPr="001D2186" w:rsidRDefault="00800A61" w:rsidP="001D2186">
            <w:pPr>
              <w:pStyle w:val="Tabletext"/>
            </w:pPr>
            <w:r w:rsidRPr="001D2186">
              <w:t>Supporting agencies &amp; partners</w:t>
            </w:r>
          </w:p>
        </w:tc>
        <w:tc>
          <w:tcPr>
            <w:tcW w:w="2097" w:type="dxa"/>
          </w:tcPr>
          <w:p w14:paraId="7E97878C" w14:textId="77777777" w:rsidR="00800A61" w:rsidRPr="001D2186" w:rsidRDefault="00800A61" w:rsidP="001D2186">
            <w:pPr>
              <w:pStyle w:val="Tabletext"/>
            </w:pPr>
            <w:r w:rsidRPr="001D2186">
              <w:t>Timeline</w:t>
            </w:r>
          </w:p>
        </w:tc>
        <w:tc>
          <w:tcPr>
            <w:tcW w:w="2275" w:type="dxa"/>
          </w:tcPr>
          <w:p w14:paraId="16380C0F" w14:textId="77777777" w:rsidR="00800A61" w:rsidRPr="001D2186" w:rsidRDefault="00800A61" w:rsidP="001D2186">
            <w:pPr>
              <w:pStyle w:val="Tabletext"/>
            </w:pPr>
            <w:r w:rsidRPr="001D2186">
              <w:t>Estimated resources required</w:t>
            </w:r>
          </w:p>
        </w:tc>
      </w:tr>
      <w:tr w:rsidR="00800A61" w:rsidRPr="001D2186" w14:paraId="3F51542D" w14:textId="77777777" w:rsidTr="003F3FA1">
        <w:trPr>
          <w:cantSplit/>
        </w:trPr>
        <w:tc>
          <w:tcPr>
            <w:tcW w:w="14087" w:type="dxa"/>
            <w:gridSpan w:val="6"/>
          </w:tcPr>
          <w:p w14:paraId="703F168F" w14:textId="3BB3004B" w:rsidR="00800A61" w:rsidRPr="00DC5316" w:rsidRDefault="00800A61" w:rsidP="001D2186">
            <w:pPr>
              <w:pStyle w:val="Tabletext"/>
              <w:rPr>
                <w:b/>
                <w:bCs/>
              </w:rPr>
            </w:pPr>
            <w:r w:rsidRPr="00DC5316">
              <w:rPr>
                <w:b/>
                <w:bCs/>
              </w:rPr>
              <w:t xml:space="preserve">Implement </w:t>
            </w:r>
            <w:r w:rsidR="001D2186" w:rsidRPr="00DC5316">
              <w:rPr>
                <w:b/>
                <w:bCs/>
              </w:rPr>
              <w:t>NMT</w:t>
            </w:r>
            <w:r w:rsidRPr="00DC5316">
              <w:rPr>
                <w:b/>
                <w:bCs/>
              </w:rPr>
              <w:t xml:space="preserve"> demonstration projects in areas with high pedestrian</w:t>
            </w:r>
            <w:r w:rsidR="001D2186" w:rsidRPr="00DC5316">
              <w:rPr>
                <w:b/>
                <w:bCs/>
              </w:rPr>
              <w:t xml:space="preserve"> and bicycle</w:t>
            </w:r>
            <w:r w:rsidRPr="00DC5316">
              <w:rPr>
                <w:b/>
                <w:bCs/>
              </w:rPr>
              <w:t xml:space="preserve"> volumes</w:t>
            </w:r>
          </w:p>
        </w:tc>
      </w:tr>
      <w:tr w:rsidR="00E6396B" w:rsidRPr="001D2186" w14:paraId="33110700" w14:textId="77777777" w:rsidTr="003F3FA1">
        <w:trPr>
          <w:cantSplit/>
          <w:trHeight w:val="184"/>
        </w:trPr>
        <w:tc>
          <w:tcPr>
            <w:tcW w:w="2500" w:type="dxa"/>
          </w:tcPr>
          <w:p w14:paraId="205365AB" w14:textId="1431D128" w:rsidR="00E6396B" w:rsidRDefault="00E6396B" w:rsidP="001D2186">
            <w:pPr>
              <w:pStyle w:val="Tabletext"/>
            </w:pPr>
            <w:r>
              <w:t xml:space="preserve">Footpath &amp; cycle track construction </w:t>
            </w:r>
          </w:p>
        </w:tc>
        <w:tc>
          <w:tcPr>
            <w:tcW w:w="3935" w:type="dxa"/>
          </w:tcPr>
          <w:p w14:paraId="3A7025DE" w14:textId="68BDCA6C" w:rsidR="00E6396B" w:rsidRDefault="00E6396B" w:rsidP="001D2186">
            <w:pPr>
              <w:pStyle w:val="Tabletext"/>
            </w:pPr>
            <w:r>
              <w:t xml:space="preserve">Implement 40 km of complete pedestrian facilities and 20 km of cycle tracks per year across </w:t>
            </w:r>
            <w:r w:rsidR="00204ED8">
              <w:t>10 key cities &amp; towns</w:t>
            </w:r>
            <w:r>
              <w:t>. Prioritise streets with high NMT volumes and hazards for NMT users.</w:t>
            </w:r>
          </w:p>
        </w:tc>
        <w:tc>
          <w:tcPr>
            <w:tcW w:w="1519" w:type="dxa"/>
          </w:tcPr>
          <w:p w14:paraId="54E0C4B8" w14:textId="3C673FD8" w:rsidR="00E6396B" w:rsidRPr="00B56BAF" w:rsidRDefault="00F54A1D" w:rsidP="00E6396B">
            <w:pPr>
              <w:pStyle w:val="Tabletext"/>
              <w:rPr>
                <w:color w:val="000000" w:themeColor="text1"/>
              </w:rPr>
            </w:pPr>
            <w:r w:rsidRPr="00B56BAF">
              <w:rPr>
                <w:color w:val="000000" w:themeColor="text1"/>
              </w:rPr>
              <w:t>[ROAD AGENCY</w:t>
            </w:r>
          </w:p>
          <w:p w14:paraId="4DE7A361" w14:textId="0A4E47C6" w:rsidR="00E6396B" w:rsidRPr="00B56BAF" w:rsidRDefault="00F54A1D" w:rsidP="00E6396B">
            <w:pPr>
              <w:pStyle w:val="Tabletext"/>
              <w:rPr>
                <w:color w:val="000000" w:themeColor="text1"/>
              </w:rPr>
            </w:pPr>
            <w:r w:rsidRPr="00B56BAF">
              <w:rPr>
                <w:color w:val="000000" w:themeColor="text1"/>
              </w:rPr>
              <w:t>LOCAL AUTHORITIES</w:t>
            </w:r>
            <w:r w:rsidR="00721AA1" w:rsidRPr="00B56BAF">
              <w:rPr>
                <w:color w:val="000000" w:themeColor="text1"/>
              </w:rPr>
              <w:t>]</w:t>
            </w:r>
          </w:p>
          <w:p w14:paraId="7B6979D4" w14:textId="77777777" w:rsidR="00E6396B" w:rsidRPr="00B56BAF" w:rsidRDefault="00E6396B" w:rsidP="001D2186">
            <w:pPr>
              <w:pStyle w:val="Tabletext"/>
              <w:rPr>
                <w:color w:val="000000" w:themeColor="text1"/>
              </w:rPr>
            </w:pPr>
          </w:p>
        </w:tc>
        <w:tc>
          <w:tcPr>
            <w:tcW w:w="1761" w:type="dxa"/>
          </w:tcPr>
          <w:p w14:paraId="58EF0FF5" w14:textId="2CFAA8B2" w:rsidR="00077B21" w:rsidRPr="00B56BAF" w:rsidRDefault="00F54A1D" w:rsidP="00077B21">
            <w:pPr>
              <w:pStyle w:val="Tabletext"/>
              <w:rPr>
                <w:color w:val="000000" w:themeColor="text1"/>
              </w:rPr>
            </w:pPr>
            <w:r w:rsidRPr="00B56BAF">
              <w:rPr>
                <w:color w:val="000000" w:themeColor="text1"/>
              </w:rPr>
              <w:t>[TRANSPORT MINISTRY</w:t>
            </w:r>
          </w:p>
          <w:p w14:paraId="6644136D" w14:textId="0D161DF6" w:rsidR="00077B21" w:rsidRPr="00B56BAF" w:rsidRDefault="00F54A1D" w:rsidP="00077B21">
            <w:pPr>
              <w:pStyle w:val="Tabletext"/>
              <w:rPr>
                <w:color w:val="000000" w:themeColor="text1"/>
              </w:rPr>
            </w:pPr>
            <w:r w:rsidRPr="00B56BAF">
              <w:rPr>
                <w:color w:val="000000" w:themeColor="text1"/>
              </w:rPr>
              <w:t>LOCAL GOVERNMENT</w:t>
            </w:r>
          </w:p>
          <w:p w14:paraId="5CAA2C3D" w14:textId="25EA1EC8" w:rsidR="00077B21" w:rsidRPr="00B56BAF" w:rsidRDefault="00F54A1D" w:rsidP="00077B21">
            <w:pPr>
              <w:pStyle w:val="Tabletext"/>
              <w:rPr>
                <w:color w:val="000000" w:themeColor="text1"/>
              </w:rPr>
            </w:pPr>
            <w:r w:rsidRPr="00B56BAF">
              <w:rPr>
                <w:color w:val="000000" w:themeColor="text1"/>
              </w:rPr>
              <w:t>ROAD AGENCY</w:t>
            </w:r>
          </w:p>
          <w:p w14:paraId="077012BB" w14:textId="50FA7287" w:rsidR="00077B21" w:rsidRPr="00B56BAF" w:rsidRDefault="00F54A1D" w:rsidP="00077B21">
            <w:pPr>
              <w:pStyle w:val="Tabletext"/>
              <w:rPr>
                <w:color w:val="000000" w:themeColor="text1"/>
              </w:rPr>
            </w:pPr>
            <w:r w:rsidRPr="00B56BAF">
              <w:rPr>
                <w:color w:val="000000" w:themeColor="text1"/>
              </w:rPr>
              <w:t>FINANCE MINISTRY</w:t>
            </w:r>
          </w:p>
          <w:p w14:paraId="1873C576" w14:textId="3D14E740" w:rsidR="00187CC6" w:rsidRPr="00B56BAF" w:rsidRDefault="00F54A1D" w:rsidP="00077B21">
            <w:pPr>
              <w:pStyle w:val="Tabletext"/>
              <w:rPr>
                <w:color w:val="000000" w:themeColor="text1"/>
              </w:rPr>
            </w:pPr>
            <w:r w:rsidRPr="00B56BAF">
              <w:rPr>
                <w:color w:val="000000" w:themeColor="text1"/>
              </w:rPr>
              <w:t>TRAFFIC POLICE]</w:t>
            </w:r>
          </w:p>
        </w:tc>
        <w:tc>
          <w:tcPr>
            <w:tcW w:w="2097" w:type="dxa"/>
          </w:tcPr>
          <w:p w14:paraId="2C6AF4B1" w14:textId="56AA8631" w:rsidR="00E6396B" w:rsidRPr="001D2186" w:rsidRDefault="00E6396B" w:rsidP="001D2186">
            <w:pPr>
              <w:pStyle w:val="Tabletext"/>
            </w:pPr>
          </w:p>
        </w:tc>
        <w:tc>
          <w:tcPr>
            <w:tcW w:w="2275" w:type="dxa"/>
          </w:tcPr>
          <w:p w14:paraId="1E3A0651" w14:textId="6FCE7E83" w:rsidR="00E6396B" w:rsidRPr="001D2186" w:rsidRDefault="00E6396B" w:rsidP="00743859">
            <w:pPr>
              <w:pStyle w:val="Tabletext"/>
            </w:pPr>
            <w:r>
              <w:t>USD 18 million per year</w:t>
            </w:r>
          </w:p>
        </w:tc>
      </w:tr>
      <w:tr w:rsidR="00800A61" w:rsidRPr="001D2186" w14:paraId="69DF9D77" w14:textId="77777777" w:rsidTr="003F3FA1">
        <w:trPr>
          <w:cantSplit/>
          <w:trHeight w:val="184"/>
        </w:trPr>
        <w:tc>
          <w:tcPr>
            <w:tcW w:w="2500" w:type="dxa"/>
          </w:tcPr>
          <w:p w14:paraId="2E170F4D" w14:textId="4567DD7B" w:rsidR="00800A61" w:rsidRPr="001D2186" w:rsidRDefault="00E6396B" w:rsidP="001D2186">
            <w:pPr>
              <w:pStyle w:val="Tabletext"/>
            </w:pPr>
            <w:r>
              <w:t>Traffic calming on local streets</w:t>
            </w:r>
          </w:p>
        </w:tc>
        <w:tc>
          <w:tcPr>
            <w:tcW w:w="3935" w:type="dxa"/>
          </w:tcPr>
          <w:p w14:paraId="45B2C55A" w14:textId="7E5CB3BA" w:rsidR="00800A61" w:rsidRPr="001D2186" w:rsidRDefault="00E6396B" w:rsidP="001D2186">
            <w:pPr>
              <w:pStyle w:val="Tabletext"/>
            </w:pPr>
            <w:r>
              <w:t xml:space="preserve">Build speed bumps and other forms of traffic calming on </w:t>
            </w:r>
            <w:r w:rsidR="006A5DAD">
              <w:t>75 km of local streets per year</w:t>
            </w:r>
            <w:r w:rsidR="00204ED8">
              <w:t xml:space="preserve"> across 10 key cities &amp; towns</w:t>
            </w:r>
            <w:r w:rsidR="00800A61" w:rsidRPr="001D2186">
              <w:t>.</w:t>
            </w:r>
            <w:r w:rsidR="00204ED8">
              <w:t xml:space="preserve"> Prioritise streets with high NMT volumes, presence of children, and road safety challenges.</w:t>
            </w:r>
          </w:p>
        </w:tc>
        <w:tc>
          <w:tcPr>
            <w:tcW w:w="1519" w:type="dxa"/>
          </w:tcPr>
          <w:p w14:paraId="34C68115" w14:textId="03977F98" w:rsidR="00800A61" w:rsidRPr="00B56BAF" w:rsidRDefault="00823279" w:rsidP="001D2186">
            <w:pPr>
              <w:pStyle w:val="Tabletext"/>
              <w:rPr>
                <w:color w:val="000000" w:themeColor="text1"/>
              </w:rPr>
            </w:pPr>
            <w:r w:rsidRPr="00B56BAF">
              <w:rPr>
                <w:color w:val="000000" w:themeColor="text1"/>
              </w:rPr>
              <w:t>[ROAD AGENCY</w:t>
            </w:r>
          </w:p>
          <w:p w14:paraId="7649F95D" w14:textId="1A888D0A" w:rsidR="00E6396B" w:rsidRPr="00B56BAF" w:rsidRDefault="00823279" w:rsidP="001D2186">
            <w:pPr>
              <w:pStyle w:val="Tabletext"/>
              <w:rPr>
                <w:color w:val="000000" w:themeColor="text1"/>
              </w:rPr>
            </w:pPr>
            <w:r w:rsidRPr="00B56BAF">
              <w:rPr>
                <w:color w:val="000000" w:themeColor="text1"/>
              </w:rPr>
              <w:t>LOCAL AUTHORITIES]</w:t>
            </w:r>
          </w:p>
        </w:tc>
        <w:tc>
          <w:tcPr>
            <w:tcW w:w="1761" w:type="dxa"/>
          </w:tcPr>
          <w:p w14:paraId="0EF065AA" w14:textId="510ABA06" w:rsidR="00800A61" w:rsidRPr="00B56BAF" w:rsidRDefault="00823279" w:rsidP="001D2186">
            <w:pPr>
              <w:pStyle w:val="Tabletext"/>
              <w:rPr>
                <w:color w:val="000000" w:themeColor="text1"/>
              </w:rPr>
            </w:pPr>
            <w:r w:rsidRPr="00B56BAF">
              <w:rPr>
                <w:color w:val="000000" w:themeColor="text1"/>
              </w:rPr>
              <w:t>[TRANSPORT MINISTRY</w:t>
            </w:r>
          </w:p>
          <w:p w14:paraId="3778EE6B" w14:textId="0F326A02" w:rsidR="00800A61" w:rsidRPr="00B56BAF" w:rsidRDefault="00823279" w:rsidP="001D2186">
            <w:pPr>
              <w:pStyle w:val="Tabletext"/>
              <w:rPr>
                <w:color w:val="000000" w:themeColor="text1"/>
              </w:rPr>
            </w:pPr>
            <w:r w:rsidRPr="00B56BAF">
              <w:rPr>
                <w:color w:val="000000" w:themeColor="text1"/>
              </w:rPr>
              <w:t>LOCAL GOVERNMENT</w:t>
            </w:r>
          </w:p>
          <w:p w14:paraId="25FAAE5E" w14:textId="5EA3F195" w:rsidR="00800A61" w:rsidRPr="00B56BAF" w:rsidRDefault="00823279" w:rsidP="001D2186">
            <w:pPr>
              <w:pStyle w:val="Tabletext"/>
              <w:rPr>
                <w:color w:val="000000" w:themeColor="text1"/>
              </w:rPr>
            </w:pPr>
            <w:r w:rsidRPr="00B56BAF">
              <w:rPr>
                <w:color w:val="000000" w:themeColor="text1"/>
              </w:rPr>
              <w:t>ROAD AGENCY</w:t>
            </w:r>
          </w:p>
          <w:p w14:paraId="6A2312F7" w14:textId="5B0C770F" w:rsidR="00AA71C8" w:rsidRPr="00B56BAF" w:rsidRDefault="00823279" w:rsidP="001D2186">
            <w:pPr>
              <w:pStyle w:val="Tabletext"/>
              <w:rPr>
                <w:color w:val="000000" w:themeColor="text1"/>
              </w:rPr>
            </w:pPr>
            <w:r w:rsidRPr="00B56BAF">
              <w:rPr>
                <w:color w:val="000000" w:themeColor="text1"/>
              </w:rPr>
              <w:t>FINANCE MINISTRY</w:t>
            </w:r>
          </w:p>
          <w:p w14:paraId="1D001E92" w14:textId="2F119841" w:rsidR="00800A61" w:rsidRPr="00B56BAF" w:rsidRDefault="00823279" w:rsidP="001D2186">
            <w:pPr>
              <w:pStyle w:val="Tabletext"/>
              <w:rPr>
                <w:color w:val="000000" w:themeColor="text1"/>
              </w:rPr>
            </w:pPr>
            <w:r w:rsidRPr="00B56BAF">
              <w:rPr>
                <w:color w:val="000000" w:themeColor="text1"/>
              </w:rPr>
              <w:t>TRAFFIC POLICE]</w:t>
            </w:r>
          </w:p>
        </w:tc>
        <w:tc>
          <w:tcPr>
            <w:tcW w:w="2097" w:type="dxa"/>
          </w:tcPr>
          <w:p w14:paraId="28A19963" w14:textId="53C0F985" w:rsidR="00204ED8" w:rsidRPr="001D2186" w:rsidRDefault="00204ED8" w:rsidP="001D2186">
            <w:pPr>
              <w:pStyle w:val="Tabletext"/>
            </w:pPr>
          </w:p>
        </w:tc>
        <w:tc>
          <w:tcPr>
            <w:tcW w:w="2275" w:type="dxa"/>
          </w:tcPr>
          <w:p w14:paraId="5A863657" w14:textId="5FD861F2" w:rsidR="00800A61" w:rsidRPr="001D2186" w:rsidRDefault="00800A61" w:rsidP="00743859">
            <w:pPr>
              <w:pStyle w:val="Tabletext"/>
            </w:pPr>
            <w:r w:rsidRPr="001D2186">
              <w:t xml:space="preserve">USD </w:t>
            </w:r>
            <w:r w:rsidR="00204ED8">
              <w:t>750,000 per year</w:t>
            </w:r>
          </w:p>
        </w:tc>
      </w:tr>
      <w:tr w:rsidR="00187CC6" w:rsidRPr="001D2186" w14:paraId="2B7DC0AF" w14:textId="77777777" w:rsidTr="003F3FA1">
        <w:trPr>
          <w:cantSplit/>
          <w:trHeight w:val="184"/>
        </w:trPr>
        <w:tc>
          <w:tcPr>
            <w:tcW w:w="2500" w:type="dxa"/>
          </w:tcPr>
          <w:p w14:paraId="21A5BBDE" w14:textId="277F53EE" w:rsidR="00187CC6" w:rsidRDefault="00187CC6" w:rsidP="00187CC6">
            <w:pPr>
              <w:pStyle w:val="Tabletext"/>
            </w:pPr>
            <w:r>
              <w:t>School zones</w:t>
            </w:r>
          </w:p>
        </w:tc>
        <w:tc>
          <w:tcPr>
            <w:tcW w:w="3935" w:type="dxa"/>
          </w:tcPr>
          <w:p w14:paraId="6E24E8D8" w14:textId="5AA758AB" w:rsidR="00187CC6" w:rsidRDefault="00187CC6" w:rsidP="00187CC6">
            <w:pPr>
              <w:pStyle w:val="Tabletext"/>
            </w:pPr>
            <w:r>
              <w:t xml:space="preserve">Introduce </w:t>
            </w:r>
            <w:proofErr w:type="spellStart"/>
            <w:r>
              <w:t>tabletop</w:t>
            </w:r>
            <w:proofErr w:type="spellEnd"/>
            <w:r>
              <w:t xml:space="preserve"> crossings, traffic calming, signage, and other elements outside 40 schools per year. Prioritise schools on arterial streets</w:t>
            </w:r>
            <w:r w:rsidR="00AB1BD6">
              <w:t xml:space="preserve"> that face road safety </w:t>
            </w:r>
            <w:r w:rsidR="00EA5374">
              <w:t>hazards</w:t>
            </w:r>
            <w:r>
              <w:t>.</w:t>
            </w:r>
          </w:p>
        </w:tc>
        <w:tc>
          <w:tcPr>
            <w:tcW w:w="1519" w:type="dxa"/>
          </w:tcPr>
          <w:p w14:paraId="150E4CEE" w14:textId="13FC22F3" w:rsidR="00187CC6" w:rsidRPr="00B56BAF" w:rsidRDefault="00823279" w:rsidP="00187CC6">
            <w:pPr>
              <w:pStyle w:val="Tabletext"/>
              <w:rPr>
                <w:color w:val="000000" w:themeColor="text1"/>
              </w:rPr>
            </w:pPr>
            <w:r w:rsidRPr="00B56BAF">
              <w:rPr>
                <w:color w:val="000000" w:themeColor="text1"/>
              </w:rPr>
              <w:t>[ROAD AGENCY</w:t>
            </w:r>
          </w:p>
          <w:p w14:paraId="1905A553" w14:textId="67D01C1F" w:rsidR="00187CC6" w:rsidRPr="00B56BAF" w:rsidRDefault="00823279" w:rsidP="00187CC6">
            <w:pPr>
              <w:pStyle w:val="Tabletext"/>
              <w:rPr>
                <w:color w:val="000000" w:themeColor="text1"/>
              </w:rPr>
            </w:pPr>
            <w:r w:rsidRPr="00B56BAF">
              <w:rPr>
                <w:color w:val="000000" w:themeColor="text1"/>
              </w:rPr>
              <w:t>LOCAL AUTHORITIES]</w:t>
            </w:r>
          </w:p>
        </w:tc>
        <w:tc>
          <w:tcPr>
            <w:tcW w:w="1761" w:type="dxa"/>
          </w:tcPr>
          <w:p w14:paraId="08A42890" w14:textId="1F8A1C5E" w:rsidR="00187CC6" w:rsidRPr="00B56BAF" w:rsidRDefault="00187CC6" w:rsidP="00187CC6">
            <w:pPr>
              <w:pStyle w:val="Tabletext"/>
              <w:rPr>
                <w:color w:val="000000" w:themeColor="text1"/>
              </w:rPr>
            </w:pPr>
          </w:p>
        </w:tc>
        <w:tc>
          <w:tcPr>
            <w:tcW w:w="2097" w:type="dxa"/>
          </w:tcPr>
          <w:p w14:paraId="1CB4D3C3" w14:textId="5854B5BD" w:rsidR="00187CC6" w:rsidRPr="001D2186" w:rsidRDefault="00187CC6" w:rsidP="00187CC6">
            <w:pPr>
              <w:pStyle w:val="Tabletext"/>
            </w:pPr>
          </w:p>
        </w:tc>
        <w:tc>
          <w:tcPr>
            <w:tcW w:w="2275" w:type="dxa"/>
          </w:tcPr>
          <w:p w14:paraId="602CA333" w14:textId="0B327295" w:rsidR="00187CC6" w:rsidRPr="001D2186" w:rsidRDefault="00187CC6" w:rsidP="00743859">
            <w:pPr>
              <w:pStyle w:val="Tabletext"/>
            </w:pPr>
            <w:r>
              <w:t>USD 1.2 million per year</w:t>
            </w:r>
          </w:p>
        </w:tc>
      </w:tr>
      <w:tr w:rsidR="0023300A" w:rsidRPr="001D2186" w14:paraId="38FA06E9" w14:textId="77777777" w:rsidTr="003F3FA1">
        <w:trPr>
          <w:cantSplit/>
          <w:trHeight w:val="184"/>
        </w:trPr>
        <w:tc>
          <w:tcPr>
            <w:tcW w:w="2500" w:type="dxa"/>
          </w:tcPr>
          <w:p w14:paraId="7DFF9176" w14:textId="3C599203" w:rsidR="0023300A" w:rsidRDefault="0023300A" w:rsidP="0023300A">
            <w:pPr>
              <w:pStyle w:val="Tabletext"/>
            </w:pPr>
            <w:r>
              <w:t>Intersection retrofits</w:t>
            </w:r>
          </w:p>
        </w:tc>
        <w:tc>
          <w:tcPr>
            <w:tcW w:w="3935" w:type="dxa"/>
          </w:tcPr>
          <w:p w14:paraId="507C5A92" w14:textId="2ABD9D57" w:rsidR="0023300A" w:rsidRDefault="0023300A" w:rsidP="0023300A">
            <w:pPr>
              <w:pStyle w:val="Tabletext"/>
            </w:pPr>
            <w:r>
              <w:t xml:space="preserve">Build pedestrian crossings, refuge islands, footpaths, and other elements at </w:t>
            </w:r>
            <w:r w:rsidR="000309A2">
              <w:t xml:space="preserve">20 intersections per year. Prioritise </w:t>
            </w:r>
            <w:r>
              <w:t>intersections</w:t>
            </w:r>
            <w:r w:rsidR="000309A2">
              <w:t xml:space="preserve"> that are dangerous for pedestrians and cyclists</w:t>
            </w:r>
            <w:r>
              <w:t>.</w:t>
            </w:r>
          </w:p>
        </w:tc>
        <w:tc>
          <w:tcPr>
            <w:tcW w:w="1519" w:type="dxa"/>
          </w:tcPr>
          <w:p w14:paraId="02A9EE11" w14:textId="2A800DA9" w:rsidR="0023300A" w:rsidRPr="00B56BAF" w:rsidRDefault="00823279" w:rsidP="0023300A">
            <w:pPr>
              <w:pStyle w:val="Tabletext"/>
              <w:rPr>
                <w:color w:val="000000" w:themeColor="text1"/>
              </w:rPr>
            </w:pPr>
            <w:r w:rsidRPr="00B56BAF">
              <w:rPr>
                <w:color w:val="000000" w:themeColor="text1"/>
              </w:rPr>
              <w:t>[ROAD AUTHORITY</w:t>
            </w:r>
          </w:p>
          <w:p w14:paraId="4DAB72DF" w14:textId="3AC9E53E" w:rsidR="0023300A" w:rsidRPr="00B56BAF" w:rsidRDefault="00823279" w:rsidP="0023300A">
            <w:pPr>
              <w:pStyle w:val="Tabletext"/>
              <w:rPr>
                <w:color w:val="000000" w:themeColor="text1"/>
              </w:rPr>
            </w:pPr>
            <w:r w:rsidRPr="00B56BAF">
              <w:rPr>
                <w:color w:val="000000" w:themeColor="text1"/>
              </w:rPr>
              <w:t>LOCAL AUTHORITIES]</w:t>
            </w:r>
          </w:p>
        </w:tc>
        <w:tc>
          <w:tcPr>
            <w:tcW w:w="1761" w:type="dxa"/>
          </w:tcPr>
          <w:p w14:paraId="0C1109F5" w14:textId="62D0486F" w:rsidR="00AA71C8" w:rsidRPr="00B56BAF" w:rsidRDefault="00823279" w:rsidP="00AA71C8">
            <w:pPr>
              <w:pStyle w:val="Tabletext"/>
              <w:rPr>
                <w:color w:val="000000" w:themeColor="text1"/>
              </w:rPr>
            </w:pPr>
            <w:r w:rsidRPr="00B56BAF">
              <w:rPr>
                <w:color w:val="000000" w:themeColor="text1"/>
              </w:rPr>
              <w:t>[TRANSPORT MINISTRY</w:t>
            </w:r>
          </w:p>
          <w:p w14:paraId="04B7A119" w14:textId="6A37C32F" w:rsidR="00AA71C8" w:rsidRPr="00B56BAF" w:rsidRDefault="00823279" w:rsidP="00AA71C8">
            <w:pPr>
              <w:pStyle w:val="Tabletext"/>
              <w:rPr>
                <w:color w:val="000000" w:themeColor="text1"/>
              </w:rPr>
            </w:pPr>
            <w:r w:rsidRPr="00B56BAF">
              <w:rPr>
                <w:color w:val="000000" w:themeColor="text1"/>
              </w:rPr>
              <w:t>LOCAL GOVERNMENT</w:t>
            </w:r>
          </w:p>
          <w:p w14:paraId="13ABEC30" w14:textId="20C09FBC" w:rsidR="00AA71C8" w:rsidRPr="00B56BAF" w:rsidRDefault="00823279" w:rsidP="00AA71C8">
            <w:pPr>
              <w:pStyle w:val="Tabletext"/>
              <w:rPr>
                <w:color w:val="000000" w:themeColor="text1"/>
              </w:rPr>
            </w:pPr>
            <w:r w:rsidRPr="00B56BAF">
              <w:rPr>
                <w:color w:val="000000" w:themeColor="text1"/>
              </w:rPr>
              <w:t>ROAD AGENCY</w:t>
            </w:r>
          </w:p>
          <w:p w14:paraId="4590B871" w14:textId="186CAFB7" w:rsidR="00AA71C8" w:rsidRPr="00B56BAF" w:rsidRDefault="00823279" w:rsidP="00AA71C8">
            <w:pPr>
              <w:pStyle w:val="Tabletext"/>
              <w:rPr>
                <w:color w:val="000000" w:themeColor="text1"/>
              </w:rPr>
            </w:pPr>
            <w:r w:rsidRPr="00B56BAF">
              <w:rPr>
                <w:color w:val="000000" w:themeColor="text1"/>
              </w:rPr>
              <w:t>FINANCE MINISTRY</w:t>
            </w:r>
          </w:p>
          <w:p w14:paraId="4562BB10" w14:textId="7479FF99" w:rsidR="0023300A" w:rsidRPr="00B56BAF" w:rsidRDefault="00823279" w:rsidP="00AA71C8">
            <w:pPr>
              <w:pStyle w:val="Tabletext"/>
              <w:rPr>
                <w:color w:val="000000" w:themeColor="text1"/>
              </w:rPr>
            </w:pPr>
            <w:r w:rsidRPr="00B56BAF">
              <w:rPr>
                <w:color w:val="000000" w:themeColor="text1"/>
              </w:rPr>
              <w:t>TRAFFIC POLICE]</w:t>
            </w:r>
          </w:p>
        </w:tc>
        <w:tc>
          <w:tcPr>
            <w:tcW w:w="2097" w:type="dxa"/>
          </w:tcPr>
          <w:p w14:paraId="77AF3DC9" w14:textId="2B41F33A" w:rsidR="0023300A" w:rsidRDefault="0023300A" w:rsidP="0023300A">
            <w:pPr>
              <w:pStyle w:val="Tabletext"/>
            </w:pPr>
          </w:p>
        </w:tc>
        <w:tc>
          <w:tcPr>
            <w:tcW w:w="2275" w:type="dxa"/>
          </w:tcPr>
          <w:p w14:paraId="18E23438" w14:textId="175620D5" w:rsidR="0023300A" w:rsidRDefault="0023300A" w:rsidP="00212EC8">
            <w:pPr>
              <w:pStyle w:val="Tabletext"/>
            </w:pPr>
            <w:r>
              <w:t>USD 2 million per year</w:t>
            </w:r>
          </w:p>
        </w:tc>
      </w:tr>
      <w:tr w:rsidR="00775873" w:rsidRPr="001D2186" w14:paraId="453D1170" w14:textId="77777777" w:rsidTr="003F3FA1">
        <w:trPr>
          <w:cantSplit/>
          <w:trHeight w:val="184"/>
        </w:trPr>
        <w:tc>
          <w:tcPr>
            <w:tcW w:w="2500" w:type="dxa"/>
          </w:tcPr>
          <w:p w14:paraId="394A63A0" w14:textId="25B6438D" w:rsidR="00775873" w:rsidRDefault="00775873" w:rsidP="00775873">
            <w:pPr>
              <w:pStyle w:val="Tabletext"/>
            </w:pPr>
            <w:r>
              <w:lastRenderedPageBreak/>
              <w:t>Street lighting</w:t>
            </w:r>
          </w:p>
        </w:tc>
        <w:tc>
          <w:tcPr>
            <w:tcW w:w="3935" w:type="dxa"/>
          </w:tcPr>
          <w:p w14:paraId="75DCBAED" w14:textId="5C4A4938" w:rsidR="00775873" w:rsidRDefault="00775873" w:rsidP="00775873">
            <w:pPr>
              <w:pStyle w:val="Tabletext"/>
            </w:pPr>
            <w:r>
              <w:t>Repair and expand street lighting on major streets.</w:t>
            </w:r>
          </w:p>
        </w:tc>
        <w:tc>
          <w:tcPr>
            <w:tcW w:w="1519" w:type="dxa"/>
          </w:tcPr>
          <w:p w14:paraId="2FFC1314" w14:textId="69CED3F5" w:rsidR="00775873" w:rsidRPr="00B56BAF" w:rsidRDefault="00823279" w:rsidP="00775873">
            <w:pPr>
              <w:pStyle w:val="Tabletext"/>
              <w:rPr>
                <w:color w:val="000000" w:themeColor="text1"/>
              </w:rPr>
            </w:pPr>
            <w:r w:rsidRPr="00B56BAF">
              <w:rPr>
                <w:color w:val="000000" w:themeColor="text1"/>
              </w:rPr>
              <w:t>[LOCAL AUTHORITIES]</w:t>
            </w:r>
          </w:p>
        </w:tc>
        <w:tc>
          <w:tcPr>
            <w:tcW w:w="1761" w:type="dxa"/>
          </w:tcPr>
          <w:p w14:paraId="24FF0D9D" w14:textId="5F4F75E0" w:rsidR="00077B21" w:rsidRPr="00B56BAF" w:rsidRDefault="00823279" w:rsidP="00077B21">
            <w:pPr>
              <w:pStyle w:val="Tabletext"/>
              <w:rPr>
                <w:color w:val="000000" w:themeColor="text1"/>
              </w:rPr>
            </w:pPr>
            <w:r w:rsidRPr="00B56BAF">
              <w:rPr>
                <w:color w:val="000000" w:themeColor="text1"/>
              </w:rPr>
              <w:t>[TRANSPORT MINISTRY</w:t>
            </w:r>
          </w:p>
          <w:p w14:paraId="67B9F41C" w14:textId="28ABEAC0" w:rsidR="00077B21" w:rsidRPr="00B56BAF" w:rsidRDefault="00823279" w:rsidP="00077B21">
            <w:pPr>
              <w:pStyle w:val="Tabletext"/>
              <w:rPr>
                <w:color w:val="000000" w:themeColor="text1"/>
              </w:rPr>
            </w:pPr>
            <w:r w:rsidRPr="00B56BAF">
              <w:rPr>
                <w:color w:val="000000" w:themeColor="text1"/>
              </w:rPr>
              <w:t>LOCAL GOVERNMENT</w:t>
            </w:r>
          </w:p>
          <w:p w14:paraId="63D6B93A" w14:textId="08762141" w:rsidR="00077B21" w:rsidRPr="00B56BAF" w:rsidRDefault="00823279" w:rsidP="00077B21">
            <w:pPr>
              <w:pStyle w:val="Tabletext"/>
              <w:rPr>
                <w:color w:val="000000" w:themeColor="text1"/>
              </w:rPr>
            </w:pPr>
            <w:r w:rsidRPr="00B56BAF">
              <w:rPr>
                <w:color w:val="000000" w:themeColor="text1"/>
              </w:rPr>
              <w:t>ROAD AGENCY</w:t>
            </w:r>
          </w:p>
          <w:p w14:paraId="3F8CC4DB" w14:textId="41033B10" w:rsidR="00077B21" w:rsidRPr="00B56BAF" w:rsidRDefault="00823279" w:rsidP="00077B21">
            <w:pPr>
              <w:pStyle w:val="Tabletext"/>
              <w:rPr>
                <w:color w:val="000000" w:themeColor="text1"/>
              </w:rPr>
            </w:pPr>
            <w:r w:rsidRPr="00B56BAF">
              <w:rPr>
                <w:color w:val="000000" w:themeColor="text1"/>
              </w:rPr>
              <w:t>FINANCE MINISTRY</w:t>
            </w:r>
          </w:p>
          <w:p w14:paraId="7474BF34" w14:textId="50F8AD0C" w:rsidR="00775873" w:rsidRPr="00B56BAF" w:rsidRDefault="00823279" w:rsidP="00077B21">
            <w:pPr>
              <w:pStyle w:val="Tabletext"/>
              <w:rPr>
                <w:color w:val="000000" w:themeColor="text1"/>
              </w:rPr>
            </w:pPr>
            <w:r w:rsidRPr="00B56BAF">
              <w:rPr>
                <w:color w:val="000000" w:themeColor="text1"/>
              </w:rPr>
              <w:t>TRAFFIC POLICE]</w:t>
            </w:r>
          </w:p>
        </w:tc>
        <w:tc>
          <w:tcPr>
            <w:tcW w:w="2097" w:type="dxa"/>
          </w:tcPr>
          <w:p w14:paraId="3DD81F08" w14:textId="1FE075DB" w:rsidR="00775873" w:rsidRDefault="00775873" w:rsidP="00775873">
            <w:pPr>
              <w:pStyle w:val="Tabletext"/>
            </w:pPr>
          </w:p>
        </w:tc>
        <w:tc>
          <w:tcPr>
            <w:tcW w:w="2275" w:type="dxa"/>
          </w:tcPr>
          <w:p w14:paraId="272B5A89" w14:textId="5E3639FC" w:rsidR="00775873" w:rsidRDefault="00775873" w:rsidP="00212EC8">
            <w:pPr>
              <w:pStyle w:val="Tabletext"/>
            </w:pPr>
            <w:r>
              <w:t>USD 8 million per year</w:t>
            </w:r>
          </w:p>
        </w:tc>
      </w:tr>
      <w:tr w:rsidR="00775873" w:rsidRPr="001D2186" w14:paraId="5090C898" w14:textId="77777777" w:rsidTr="003F3FA1">
        <w:trPr>
          <w:cantSplit/>
          <w:trHeight w:val="184"/>
        </w:trPr>
        <w:tc>
          <w:tcPr>
            <w:tcW w:w="2500" w:type="dxa"/>
          </w:tcPr>
          <w:p w14:paraId="38E38E65" w14:textId="6659FAD1" w:rsidR="00775873" w:rsidRDefault="00D47AC0" w:rsidP="00775873">
            <w:pPr>
              <w:pStyle w:val="Tabletext"/>
            </w:pPr>
            <w:r>
              <w:t xml:space="preserve">Pedestrian zone </w:t>
            </w:r>
          </w:p>
        </w:tc>
        <w:tc>
          <w:tcPr>
            <w:tcW w:w="3935" w:type="dxa"/>
          </w:tcPr>
          <w:p w14:paraId="0CDA912F" w14:textId="292AD7F7" w:rsidR="00775873" w:rsidRDefault="00775873" w:rsidP="00775873">
            <w:pPr>
              <w:pStyle w:val="Tabletext"/>
            </w:pPr>
            <w:r>
              <w:t>Develop a pedestrian zone on a street with high pedestrian volumes.</w:t>
            </w:r>
          </w:p>
        </w:tc>
        <w:tc>
          <w:tcPr>
            <w:tcW w:w="1519" w:type="dxa"/>
          </w:tcPr>
          <w:p w14:paraId="38007F68" w14:textId="3D760D69" w:rsidR="00775873" w:rsidRDefault="00823279" w:rsidP="00775873">
            <w:pPr>
              <w:pStyle w:val="Tabletext"/>
            </w:pPr>
            <w:r>
              <w:t>[LOCAL AUTHORITIES]</w:t>
            </w:r>
          </w:p>
        </w:tc>
        <w:tc>
          <w:tcPr>
            <w:tcW w:w="1761" w:type="dxa"/>
          </w:tcPr>
          <w:p w14:paraId="7C92B088" w14:textId="71247722" w:rsidR="00077B21" w:rsidRDefault="00823279" w:rsidP="00077B21">
            <w:pPr>
              <w:pStyle w:val="Tabletext"/>
            </w:pPr>
            <w:r>
              <w:t>[TRANSPORT MINISTRY</w:t>
            </w:r>
          </w:p>
          <w:p w14:paraId="228B4147" w14:textId="2ACCBFD1" w:rsidR="00077B21" w:rsidRPr="001D2186" w:rsidRDefault="00823279" w:rsidP="00077B21">
            <w:pPr>
              <w:pStyle w:val="Tabletext"/>
            </w:pPr>
            <w:r>
              <w:t>LOCAL GOVERNMENT</w:t>
            </w:r>
          </w:p>
          <w:p w14:paraId="5353FB9C" w14:textId="1FAA4DE7" w:rsidR="00077B21" w:rsidRPr="001D2186" w:rsidRDefault="00823279" w:rsidP="00077B21">
            <w:pPr>
              <w:pStyle w:val="Tabletext"/>
            </w:pPr>
            <w:r>
              <w:t xml:space="preserve">ROAD </w:t>
            </w:r>
            <w:r w:rsidRPr="001D2186">
              <w:t>A</w:t>
            </w:r>
            <w:r>
              <w:t>GENCY</w:t>
            </w:r>
          </w:p>
          <w:p w14:paraId="57E88010" w14:textId="0FD888B7" w:rsidR="00077B21" w:rsidRPr="001D2186" w:rsidRDefault="00823279" w:rsidP="00077B21">
            <w:pPr>
              <w:pStyle w:val="Tabletext"/>
            </w:pPr>
            <w:r>
              <w:t>FINANCE MINISTRY</w:t>
            </w:r>
          </w:p>
          <w:p w14:paraId="06248FA1" w14:textId="0BCA4DFD" w:rsidR="00775873" w:rsidRPr="001D2186" w:rsidRDefault="00823279" w:rsidP="00077B21">
            <w:pPr>
              <w:pStyle w:val="Tabletext"/>
            </w:pPr>
            <w:r w:rsidRPr="001D2186">
              <w:t>TRAFFIC POLICE</w:t>
            </w:r>
            <w:r>
              <w:t>]</w:t>
            </w:r>
          </w:p>
        </w:tc>
        <w:tc>
          <w:tcPr>
            <w:tcW w:w="2097" w:type="dxa"/>
          </w:tcPr>
          <w:p w14:paraId="43A6B49B" w14:textId="681F73E1" w:rsidR="00775873" w:rsidRDefault="00775873" w:rsidP="00775873">
            <w:pPr>
              <w:pStyle w:val="Tabletext"/>
            </w:pPr>
          </w:p>
        </w:tc>
        <w:tc>
          <w:tcPr>
            <w:tcW w:w="2275" w:type="dxa"/>
          </w:tcPr>
          <w:p w14:paraId="6D6B8316" w14:textId="615B51A3" w:rsidR="00775873" w:rsidRDefault="00775873" w:rsidP="00212EC8">
            <w:pPr>
              <w:pStyle w:val="Tabletext"/>
            </w:pPr>
            <w:r>
              <w:t>USD 250,000</w:t>
            </w:r>
          </w:p>
        </w:tc>
      </w:tr>
      <w:tr w:rsidR="00775873" w:rsidRPr="001D2186" w14:paraId="766F50B3" w14:textId="77777777" w:rsidTr="003F3FA1">
        <w:trPr>
          <w:cantSplit/>
          <w:trHeight w:val="184"/>
        </w:trPr>
        <w:tc>
          <w:tcPr>
            <w:tcW w:w="14087" w:type="dxa"/>
            <w:gridSpan w:val="6"/>
          </w:tcPr>
          <w:p w14:paraId="75FC9865" w14:textId="2CF96555" w:rsidR="00775873" w:rsidRPr="00E073F6" w:rsidRDefault="00775873" w:rsidP="00775873">
            <w:pPr>
              <w:pStyle w:val="Tabletext"/>
              <w:rPr>
                <w:b/>
                <w:bCs/>
              </w:rPr>
            </w:pPr>
            <w:r>
              <w:rPr>
                <w:b/>
                <w:bCs/>
              </w:rPr>
              <w:t>Expand access to bicycles</w:t>
            </w:r>
          </w:p>
        </w:tc>
      </w:tr>
      <w:tr w:rsidR="00775873" w:rsidRPr="001D2186" w14:paraId="2E8E3627" w14:textId="77777777" w:rsidTr="003F3FA1">
        <w:trPr>
          <w:cantSplit/>
          <w:trHeight w:val="184"/>
        </w:trPr>
        <w:tc>
          <w:tcPr>
            <w:tcW w:w="2500" w:type="dxa"/>
          </w:tcPr>
          <w:p w14:paraId="5F0CDC99" w14:textId="7A4A06AF" w:rsidR="00775873" w:rsidRDefault="00775873" w:rsidP="00775873">
            <w:pPr>
              <w:pStyle w:val="Tabletext"/>
            </w:pPr>
            <w:r>
              <w:t>Bicycle sharing systems</w:t>
            </w:r>
          </w:p>
        </w:tc>
        <w:tc>
          <w:tcPr>
            <w:tcW w:w="3935" w:type="dxa"/>
          </w:tcPr>
          <w:p w14:paraId="0B77CF39" w14:textId="0C921033" w:rsidR="00775873" w:rsidRDefault="00775873" w:rsidP="00775873">
            <w:pPr>
              <w:pStyle w:val="Tabletext"/>
            </w:pPr>
            <w:r>
              <w:t>Implement IT-based bicycle sharing systems in city centres and other dense, mixed-use city areas to expand options for short trips and improve last-mile access to public transport.</w:t>
            </w:r>
          </w:p>
        </w:tc>
        <w:tc>
          <w:tcPr>
            <w:tcW w:w="1519" w:type="dxa"/>
          </w:tcPr>
          <w:p w14:paraId="0E5577EE" w14:textId="228A47F2" w:rsidR="00775873" w:rsidRDefault="00941ACF" w:rsidP="00775873">
            <w:pPr>
              <w:pStyle w:val="Tabletext"/>
            </w:pPr>
            <w:r>
              <w:t>[LOCAL AUTHORITIES]</w:t>
            </w:r>
          </w:p>
        </w:tc>
        <w:tc>
          <w:tcPr>
            <w:tcW w:w="1761" w:type="dxa"/>
          </w:tcPr>
          <w:p w14:paraId="03B4B49C" w14:textId="760B4E6D" w:rsidR="00077B21" w:rsidRDefault="00941ACF" w:rsidP="00077B21">
            <w:pPr>
              <w:pStyle w:val="Tabletext"/>
            </w:pPr>
            <w:r>
              <w:t>[TRANSPORT MINISTRY</w:t>
            </w:r>
          </w:p>
          <w:p w14:paraId="468173E0" w14:textId="009CB570" w:rsidR="00077B21" w:rsidRPr="001D2186" w:rsidRDefault="00941ACF" w:rsidP="00077B21">
            <w:pPr>
              <w:pStyle w:val="Tabletext"/>
            </w:pPr>
            <w:r>
              <w:t>LOCAL GOVERNMENT]</w:t>
            </w:r>
          </w:p>
          <w:p w14:paraId="7FE69E1A" w14:textId="07488220" w:rsidR="00775873" w:rsidRPr="001D2186" w:rsidRDefault="00775873" w:rsidP="00775873">
            <w:pPr>
              <w:pStyle w:val="Tabletext"/>
            </w:pPr>
          </w:p>
        </w:tc>
        <w:tc>
          <w:tcPr>
            <w:tcW w:w="2097" w:type="dxa"/>
          </w:tcPr>
          <w:p w14:paraId="4D4C57EF" w14:textId="19AD7979" w:rsidR="00775873" w:rsidRDefault="00775873" w:rsidP="00775873">
            <w:pPr>
              <w:pStyle w:val="Tabletext"/>
            </w:pPr>
          </w:p>
        </w:tc>
        <w:tc>
          <w:tcPr>
            <w:tcW w:w="2275" w:type="dxa"/>
          </w:tcPr>
          <w:p w14:paraId="04D65BD9" w14:textId="0757B2EF" w:rsidR="00775873" w:rsidRDefault="00775873" w:rsidP="00212EC8">
            <w:pPr>
              <w:pStyle w:val="Tabletext"/>
            </w:pPr>
            <w:r>
              <w:t>USD 1.9 million per year</w:t>
            </w:r>
          </w:p>
        </w:tc>
      </w:tr>
      <w:tr w:rsidR="00775873" w:rsidRPr="001D2186" w14:paraId="0076CA9C" w14:textId="77777777" w:rsidTr="003F3FA1">
        <w:trPr>
          <w:cantSplit/>
          <w:trHeight w:val="184"/>
        </w:trPr>
        <w:tc>
          <w:tcPr>
            <w:tcW w:w="2500" w:type="dxa"/>
          </w:tcPr>
          <w:p w14:paraId="6E4815C8" w14:textId="709C3B17" w:rsidR="00775873" w:rsidRDefault="00775873" w:rsidP="00775873">
            <w:pPr>
              <w:pStyle w:val="Tabletext"/>
            </w:pPr>
            <w:r>
              <w:t>Bicycle purchase assistance</w:t>
            </w:r>
          </w:p>
        </w:tc>
        <w:tc>
          <w:tcPr>
            <w:tcW w:w="3935" w:type="dxa"/>
          </w:tcPr>
          <w:p w14:paraId="5E788F4B" w14:textId="25E968D1" w:rsidR="00775873" w:rsidRDefault="00775873" w:rsidP="00775873">
            <w:pPr>
              <w:pStyle w:val="Tabletext"/>
            </w:pPr>
            <w:r>
              <w:t>Introduce microfinance options to support the purchase of low-cost bicycles.</w:t>
            </w:r>
          </w:p>
        </w:tc>
        <w:tc>
          <w:tcPr>
            <w:tcW w:w="1519" w:type="dxa"/>
          </w:tcPr>
          <w:p w14:paraId="521E10FA" w14:textId="592CD8E6" w:rsidR="00775873" w:rsidRDefault="00B56BAF" w:rsidP="00775873">
            <w:pPr>
              <w:pStyle w:val="Tabletext"/>
            </w:pPr>
            <w:r>
              <w:t>[LOCAL AUTHORITIES]</w:t>
            </w:r>
          </w:p>
        </w:tc>
        <w:tc>
          <w:tcPr>
            <w:tcW w:w="1761" w:type="dxa"/>
          </w:tcPr>
          <w:p w14:paraId="1BD47470" w14:textId="1F5A9DCF" w:rsidR="00077B21" w:rsidRDefault="00941ACF" w:rsidP="00077B21">
            <w:pPr>
              <w:pStyle w:val="Tabletext"/>
            </w:pPr>
            <w:r>
              <w:t>[TRANSPORT MINISTRY</w:t>
            </w:r>
          </w:p>
          <w:p w14:paraId="191689B8" w14:textId="1311796B" w:rsidR="00077B21" w:rsidRPr="001D2186" w:rsidRDefault="00941ACF" w:rsidP="00077B21">
            <w:pPr>
              <w:pStyle w:val="Tabletext"/>
            </w:pPr>
            <w:r>
              <w:t>LOCAL GOVERNMENT</w:t>
            </w:r>
          </w:p>
          <w:p w14:paraId="10AE1C8E" w14:textId="7264C9C4" w:rsidR="00077B21" w:rsidRPr="001D2186" w:rsidRDefault="00941ACF" w:rsidP="00077B21">
            <w:pPr>
              <w:pStyle w:val="Tabletext"/>
            </w:pPr>
            <w:r>
              <w:t>FINANCE MINISTRY]</w:t>
            </w:r>
          </w:p>
          <w:p w14:paraId="667E33C4" w14:textId="34EA821A" w:rsidR="00775873" w:rsidRPr="001D2186" w:rsidRDefault="00775873" w:rsidP="00775873">
            <w:pPr>
              <w:pStyle w:val="Tabletext"/>
            </w:pPr>
          </w:p>
        </w:tc>
        <w:tc>
          <w:tcPr>
            <w:tcW w:w="2097" w:type="dxa"/>
          </w:tcPr>
          <w:p w14:paraId="1294C417" w14:textId="2F19DEAA" w:rsidR="00775873" w:rsidRDefault="00775873" w:rsidP="00775873">
            <w:pPr>
              <w:pStyle w:val="Tabletext"/>
            </w:pPr>
          </w:p>
        </w:tc>
        <w:tc>
          <w:tcPr>
            <w:tcW w:w="2275" w:type="dxa"/>
          </w:tcPr>
          <w:p w14:paraId="703370AF" w14:textId="64F15EF3" w:rsidR="00775873" w:rsidRDefault="00775873" w:rsidP="00775873">
            <w:pPr>
              <w:pStyle w:val="Tabletext"/>
            </w:pPr>
            <w:r>
              <w:t>Finance charges for low-cost loans</w:t>
            </w:r>
          </w:p>
        </w:tc>
      </w:tr>
      <w:tr w:rsidR="00775873" w:rsidRPr="001D2186" w14:paraId="483A586B" w14:textId="77777777" w:rsidTr="003F3FA1">
        <w:trPr>
          <w:cantSplit/>
          <w:trHeight w:val="184"/>
        </w:trPr>
        <w:tc>
          <w:tcPr>
            <w:tcW w:w="14087" w:type="dxa"/>
            <w:gridSpan w:val="6"/>
          </w:tcPr>
          <w:p w14:paraId="6A2FD63A" w14:textId="462877BE" w:rsidR="00775873" w:rsidRPr="00EB3F50" w:rsidRDefault="00775873" w:rsidP="00775873">
            <w:pPr>
              <w:pStyle w:val="Tabletext"/>
              <w:rPr>
                <w:b/>
                <w:bCs/>
              </w:rPr>
            </w:pPr>
            <w:r w:rsidRPr="00EB3F50">
              <w:rPr>
                <w:b/>
                <w:bCs/>
              </w:rPr>
              <w:t>Develop design standards to ensure that all new street projects include best practice NMT facilities</w:t>
            </w:r>
          </w:p>
        </w:tc>
      </w:tr>
      <w:tr w:rsidR="00775873" w:rsidRPr="001D2186" w14:paraId="5E37F9CD" w14:textId="77777777" w:rsidTr="003F3FA1">
        <w:trPr>
          <w:cantSplit/>
          <w:trHeight w:val="184"/>
        </w:trPr>
        <w:tc>
          <w:tcPr>
            <w:tcW w:w="2500" w:type="dxa"/>
          </w:tcPr>
          <w:p w14:paraId="015EE98D" w14:textId="135E07C4" w:rsidR="00775873" w:rsidRPr="001D2186" w:rsidRDefault="00775873" w:rsidP="00775873">
            <w:pPr>
              <w:pStyle w:val="Tabletext"/>
            </w:pPr>
            <w:r w:rsidRPr="001D2186">
              <w:t xml:space="preserve">Develop and adopt </w:t>
            </w:r>
            <w:r w:rsidR="00B672B7">
              <w:t xml:space="preserve">the [COUNTRY] </w:t>
            </w:r>
            <w:r>
              <w:t>Urban Street Design Manual</w:t>
            </w:r>
          </w:p>
        </w:tc>
        <w:tc>
          <w:tcPr>
            <w:tcW w:w="3935" w:type="dxa"/>
          </w:tcPr>
          <w:p w14:paraId="3132702F" w14:textId="481E931F" w:rsidR="00775873" w:rsidRPr="0012698E" w:rsidRDefault="00775873" w:rsidP="00B672B7">
            <w:pPr>
              <w:pStyle w:val="Tabletext"/>
            </w:pPr>
            <w:r w:rsidRPr="0012698E">
              <w:t xml:space="preserve">Develop and adopt the </w:t>
            </w:r>
            <w:r w:rsidR="00B672B7">
              <w:t>[COUNTRY’S]</w:t>
            </w:r>
            <w:r w:rsidRPr="0012698E">
              <w:t xml:space="preserve"> </w:t>
            </w:r>
            <w:r>
              <w:t xml:space="preserve">Urban </w:t>
            </w:r>
            <w:r w:rsidRPr="0012698E">
              <w:t>Street Design Manual, providing standards for urban streets in line with i</w:t>
            </w:r>
            <w:r w:rsidR="00B672B7">
              <w:t xml:space="preserve">nternational best practices. A </w:t>
            </w:r>
            <w:r>
              <w:t>U</w:t>
            </w:r>
            <w:r w:rsidRPr="0012698E">
              <w:t xml:space="preserve">SDM Steering Committee consisting of representatives from government agencies and local authorities </w:t>
            </w:r>
            <w:r>
              <w:t>will</w:t>
            </w:r>
            <w:r w:rsidRPr="0012698E">
              <w:t xml:space="preserve"> be appointed to guide the process.</w:t>
            </w:r>
          </w:p>
        </w:tc>
        <w:tc>
          <w:tcPr>
            <w:tcW w:w="1519" w:type="dxa"/>
          </w:tcPr>
          <w:p w14:paraId="77068A1F" w14:textId="15F6C728" w:rsidR="00775873" w:rsidRPr="0012698E" w:rsidRDefault="00B56BAF" w:rsidP="00775873">
            <w:pPr>
              <w:pStyle w:val="Tabletext"/>
            </w:pPr>
            <w:r>
              <w:t>[TRANSPORT MINISTRY]</w:t>
            </w:r>
          </w:p>
          <w:p w14:paraId="50EDC4CE" w14:textId="77777777" w:rsidR="00775873" w:rsidRPr="0012698E" w:rsidRDefault="00775873" w:rsidP="00775873">
            <w:pPr>
              <w:pStyle w:val="Tabletext"/>
            </w:pPr>
          </w:p>
        </w:tc>
        <w:tc>
          <w:tcPr>
            <w:tcW w:w="1761" w:type="dxa"/>
          </w:tcPr>
          <w:p w14:paraId="4CA3E688" w14:textId="374301BA" w:rsidR="00775873" w:rsidRPr="0012698E" w:rsidRDefault="00B56BAF" w:rsidP="00775873">
            <w:pPr>
              <w:pStyle w:val="Tabletext"/>
            </w:pPr>
            <w:r>
              <w:t xml:space="preserve">[LOCAL GOVERNMENT MINISTRY </w:t>
            </w:r>
          </w:p>
          <w:p w14:paraId="46CFC520" w14:textId="6AA89D66" w:rsidR="00775873" w:rsidRPr="0012698E" w:rsidRDefault="00B56BAF" w:rsidP="00775873">
            <w:pPr>
              <w:pStyle w:val="Tabletext"/>
            </w:pPr>
            <w:r>
              <w:t>HOUSING MINISTRY</w:t>
            </w:r>
          </w:p>
          <w:p w14:paraId="2BCA2EAC" w14:textId="02CA934F" w:rsidR="00775873" w:rsidRPr="0012698E" w:rsidRDefault="00B56BAF" w:rsidP="00775873">
            <w:pPr>
              <w:pStyle w:val="Tabletext"/>
            </w:pPr>
            <w:r w:rsidRPr="0012698E">
              <w:t>LOCAL AUTHORITIES</w:t>
            </w:r>
          </w:p>
          <w:p w14:paraId="066D525B" w14:textId="5198ACA1" w:rsidR="00775873" w:rsidRPr="0012698E" w:rsidRDefault="00B56BAF" w:rsidP="00775873">
            <w:pPr>
              <w:pStyle w:val="Tabletext"/>
            </w:pPr>
            <w:r>
              <w:t xml:space="preserve">ROAD </w:t>
            </w:r>
            <w:r w:rsidRPr="0012698E">
              <w:t>A</w:t>
            </w:r>
            <w:r>
              <w:t>GENCY</w:t>
            </w:r>
          </w:p>
          <w:p w14:paraId="2AFD26AE" w14:textId="20A61F41" w:rsidR="00775873" w:rsidRPr="0012698E" w:rsidRDefault="00B56BAF" w:rsidP="00775873">
            <w:pPr>
              <w:pStyle w:val="Tabletext"/>
            </w:pPr>
            <w:r>
              <w:t>FINANCE MINISTRY]</w:t>
            </w:r>
          </w:p>
          <w:p w14:paraId="4CC1AED6" w14:textId="77777777" w:rsidR="00775873" w:rsidRPr="0012698E" w:rsidRDefault="00775873" w:rsidP="00775873">
            <w:pPr>
              <w:pStyle w:val="Tabletext"/>
            </w:pPr>
          </w:p>
        </w:tc>
        <w:tc>
          <w:tcPr>
            <w:tcW w:w="2097" w:type="dxa"/>
          </w:tcPr>
          <w:p w14:paraId="3D5D287A" w14:textId="0E7FF315" w:rsidR="00775873" w:rsidRPr="0012698E" w:rsidRDefault="00775873" w:rsidP="00775873">
            <w:pPr>
              <w:pStyle w:val="Tabletext"/>
            </w:pPr>
          </w:p>
        </w:tc>
        <w:tc>
          <w:tcPr>
            <w:tcW w:w="2275" w:type="dxa"/>
          </w:tcPr>
          <w:p w14:paraId="39E696E7" w14:textId="7DA87A6E" w:rsidR="00775873" w:rsidRPr="0012698E" w:rsidRDefault="00775873" w:rsidP="00775873">
            <w:pPr>
              <w:pStyle w:val="Tabletext"/>
            </w:pPr>
            <w:r w:rsidRPr="0012698E">
              <w:t>Staff time to prepare the design standards. USD 30,000 for international street design expert to review the draft standards</w:t>
            </w:r>
          </w:p>
        </w:tc>
      </w:tr>
      <w:tr w:rsidR="00775873" w:rsidRPr="001D2186" w14:paraId="435EF3D4" w14:textId="77777777" w:rsidTr="003F3FA1">
        <w:trPr>
          <w:cantSplit/>
          <w:trHeight w:val="184"/>
        </w:trPr>
        <w:tc>
          <w:tcPr>
            <w:tcW w:w="2500" w:type="dxa"/>
          </w:tcPr>
          <w:p w14:paraId="24771E2B" w14:textId="77777777" w:rsidR="00775873" w:rsidRPr="001D2186" w:rsidRDefault="00775873" w:rsidP="00775873">
            <w:pPr>
              <w:pStyle w:val="Tabletext"/>
            </w:pPr>
            <w:r w:rsidRPr="001D2186">
              <w:lastRenderedPageBreak/>
              <w:t>Street design review process</w:t>
            </w:r>
          </w:p>
        </w:tc>
        <w:tc>
          <w:tcPr>
            <w:tcW w:w="3935" w:type="dxa"/>
          </w:tcPr>
          <w:p w14:paraId="08CD124B" w14:textId="6B43C8CB" w:rsidR="00775873" w:rsidRPr="0012698E" w:rsidRDefault="00775873" w:rsidP="00775873">
            <w:pPr>
              <w:pStyle w:val="Tabletext"/>
            </w:pPr>
            <w:r w:rsidRPr="0012698E">
              <w:t>Institute a design review process for all new road improvement projects.</w:t>
            </w:r>
            <w:r>
              <w:t xml:space="preserve"> The</w:t>
            </w:r>
            <w:r w:rsidR="00B672B7">
              <w:t xml:space="preserve"> </w:t>
            </w:r>
            <w:r>
              <w:t>U</w:t>
            </w:r>
            <w:r w:rsidRPr="0012698E">
              <w:t xml:space="preserve">SDM Steering Committee consisting of representatives from key government agencies and local authorities </w:t>
            </w:r>
            <w:r>
              <w:t>will oversee the reviews</w:t>
            </w:r>
          </w:p>
        </w:tc>
        <w:tc>
          <w:tcPr>
            <w:tcW w:w="1519" w:type="dxa"/>
          </w:tcPr>
          <w:p w14:paraId="3E438357" w14:textId="0AD11391" w:rsidR="00775873" w:rsidRPr="0012698E" w:rsidRDefault="00B56BAF" w:rsidP="00775873">
            <w:pPr>
              <w:pStyle w:val="Tabletext"/>
            </w:pPr>
            <w:r>
              <w:t>[TRANSPORT MINISTRY]</w:t>
            </w:r>
          </w:p>
        </w:tc>
        <w:tc>
          <w:tcPr>
            <w:tcW w:w="1761" w:type="dxa"/>
          </w:tcPr>
          <w:p w14:paraId="151D7FAC" w14:textId="0602696A" w:rsidR="00077B21" w:rsidRDefault="00B56BAF" w:rsidP="00077B21">
            <w:pPr>
              <w:pStyle w:val="Tabletext"/>
            </w:pPr>
            <w:r>
              <w:t>[TRANSPORT MINISTRY</w:t>
            </w:r>
          </w:p>
          <w:p w14:paraId="27B7B46A" w14:textId="6AAFF643" w:rsidR="00077B21" w:rsidRPr="001D2186" w:rsidRDefault="00B56BAF" w:rsidP="00077B21">
            <w:pPr>
              <w:pStyle w:val="Tabletext"/>
            </w:pPr>
            <w:r>
              <w:t>LOCAL GOVERNMENT</w:t>
            </w:r>
          </w:p>
          <w:p w14:paraId="4D91128F" w14:textId="5426B7D9" w:rsidR="00077B21" w:rsidRPr="001D2186" w:rsidRDefault="00B56BAF" w:rsidP="00077B21">
            <w:pPr>
              <w:pStyle w:val="Tabletext"/>
            </w:pPr>
            <w:r>
              <w:t xml:space="preserve">ROAD </w:t>
            </w:r>
            <w:r w:rsidRPr="001D2186">
              <w:t>A</w:t>
            </w:r>
            <w:r>
              <w:t>GENCY</w:t>
            </w:r>
          </w:p>
          <w:p w14:paraId="5181DFCD" w14:textId="681361C6" w:rsidR="00077B21" w:rsidRPr="001D2186" w:rsidRDefault="00B56BAF" w:rsidP="00077B21">
            <w:pPr>
              <w:pStyle w:val="Tabletext"/>
            </w:pPr>
            <w:r>
              <w:t>FINANCE MINISTRY</w:t>
            </w:r>
          </w:p>
          <w:p w14:paraId="0C8FA614" w14:textId="39081460" w:rsidR="00775873" w:rsidRPr="0012698E" w:rsidRDefault="00B56BAF" w:rsidP="00077B21">
            <w:pPr>
              <w:pStyle w:val="Tabletext"/>
            </w:pPr>
            <w:r w:rsidRPr="001D2186">
              <w:t>TRAFFIC POLICE</w:t>
            </w:r>
            <w:r>
              <w:t>]</w:t>
            </w:r>
          </w:p>
        </w:tc>
        <w:tc>
          <w:tcPr>
            <w:tcW w:w="2097" w:type="dxa"/>
          </w:tcPr>
          <w:p w14:paraId="7DE303BC" w14:textId="5D9D1F81" w:rsidR="00775873" w:rsidRPr="0012698E" w:rsidRDefault="00775873" w:rsidP="00775873">
            <w:pPr>
              <w:pStyle w:val="Tabletext"/>
            </w:pPr>
          </w:p>
        </w:tc>
        <w:tc>
          <w:tcPr>
            <w:tcW w:w="2275" w:type="dxa"/>
          </w:tcPr>
          <w:p w14:paraId="09134587" w14:textId="0D869D44" w:rsidR="00775873" w:rsidRPr="0012698E" w:rsidRDefault="00775873" w:rsidP="00775873">
            <w:pPr>
              <w:pStyle w:val="Tabletext"/>
            </w:pPr>
            <w:r>
              <w:t>Staff time</w:t>
            </w:r>
          </w:p>
        </w:tc>
      </w:tr>
      <w:tr w:rsidR="00775873" w:rsidRPr="001D2186" w14:paraId="6C442284" w14:textId="77777777" w:rsidTr="003F3FA1">
        <w:trPr>
          <w:cantSplit/>
          <w:trHeight w:val="184"/>
        </w:trPr>
        <w:tc>
          <w:tcPr>
            <w:tcW w:w="14087" w:type="dxa"/>
            <w:gridSpan w:val="6"/>
          </w:tcPr>
          <w:p w14:paraId="6E667930" w14:textId="3F3CC44D" w:rsidR="00775873" w:rsidRPr="00EB3F50" w:rsidRDefault="00775873" w:rsidP="00775873">
            <w:pPr>
              <w:pStyle w:val="Tabletext"/>
              <w:rPr>
                <w:b/>
                <w:bCs/>
              </w:rPr>
            </w:pPr>
            <w:r>
              <w:rPr>
                <w:b/>
                <w:bCs/>
              </w:rPr>
              <w:t>Manage streets to improve access and convenience for NMT users</w:t>
            </w:r>
          </w:p>
        </w:tc>
      </w:tr>
      <w:tr w:rsidR="00775873" w:rsidRPr="001D2186" w14:paraId="0825DE93" w14:textId="77777777" w:rsidTr="003F3FA1">
        <w:trPr>
          <w:cantSplit/>
          <w:trHeight w:val="184"/>
        </w:trPr>
        <w:tc>
          <w:tcPr>
            <w:tcW w:w="2500" w:type="dxa"/>
          </w:tcPr>
          <w:p w14:paraId="73BC281D" w14:textId="483EBFA5" w:rsidR="00775873" w:rsidRDefault="00775873" w:rsidP="00775873">
            <w:pPr>
              <w:pStyle w:val="Tabletext"/>
            </w:pPr>
            <w:r>
              <w:t>IT-based parking management systems</w:t>
            </w:r>
          </w:p>
        </w:tc>
        <w:tc>
          <w:tcPr>
            <w:tcW w:w="3935" w:type="dxa"/>
          </w:tcPr>
          <w:p w14:paraId="145BE4DD" w14:textId="7A739FC8" w:rsidR="00775873" w:rsidRDefault="00775873" w:rsidP="00775873">
            <w:pPr>
              <w:pStyle w:val="Tabletext"/>
            </w:pPr>
            <w:r w:rsidRPr="00E4295A">
              <w:t>Implement an IT-based on-street parking management system to prevent parking encroachments on pedestrian spaces and generate revenue for pedestrian improvements</w:t>
            </w:r>
          </w:p>
        </w:tc>
        <w:tc>
          <w:tcPr>
            <w:tcW w:w="1519" w:type="dxa"/>
          </w:tcPr>
          <w:p w14:paraId="24679D5F" w14:textId="406513E0" w:rsidR="00775873" w:rsidRDefault="00B56BAF" w:rsidP="00775873">
            <w:pPr>
              <w:pStyle w:val="Tabletext"/>
            </w:pPr>
            <w:r>
              <w:t>[LOCAL AUTHORITIES]</w:t>
            </w:r>
          </w:p>
        </w:tc>
        <w:tc>
          <w:tcPr>
            <w:tcW w:w="1761" w:type="dxa"/>
          </w:tcPr>
          <w:p w14:paraId="65ED9688" w14:textId="17236158" w:rsidR="00077B21" w:rsidRDefault="00B56BAF" w:rsidP="00775873">
            <w:pPr>
              <w:pStyle w:val="Tabletext"/>
            </w:pPr>
            <w:r>
              <w:t>[</w:t>
            </w:r>
            <w:r w:rsidRPr="00077B21">
              <w:t>LOCAL GOVERNMENT</w:t>
            </w:r>
          </w:p>
          <w:p w14:paraId="360D09FF" w14:textId="11E8481E" w:rsidR="00775873" w:rsidRDefault="00B56BAF" w:rsidP="00775873">
            <w:pPr>
              <w:pStyle w:val="Tabletext"/>
            </w:pPr>
            <w:r>
              <w:t>TRAFFIC POLICE]</w:t>
            </w:r>
          </w:p>
        </w:tc>
        <w:tc>
          <w:tcPr>
            <w:tcW w:w="2097" w:type="dxa"/>
          </w:tcPr>
          <w:p w14:paraId="2D45563A" w14:textId="4A7830B3" w:rsidR="00775873" w:rsidRDefault="00775873" w:rsidP="00775873">
            <w:pPr>
              <w:pStyle w:val="Tabletext"/>
            </w:pPr>
          </w:p>
        </w:tc>
        <w:tc>
          <w:tcPr>
            <w:tcW w:w="2275" w:type="dxa"/>
          </w:tcPr>
          <w:p w14:paraId="5809B9B3" w14:textId="42BB540B" w:rsidR="00775873" w:rsidRDefault="00775873" w:rsidP="00775873">
            <w:pPr>
              <w:pStyle w:val="Tabletext"/>
            </w:pPr>
            <w:r w:rsidRPr="00E4295A">
              <w:t xml:space="preserve">Project will </w:t>
            </w:r>
            <w:r>
              <w:t>increase revenue generation</w:t>
            </w:r>
            <w:r w:rsidRPr="00E4295A">
              <w:t xml:space="preserve"> for the government</w:t>
            </w:r>
          </w:p>
        </w:tc>
      </w:tr>
      <w:tr w:rsidR="00775873" w:rsidRPr="001D2186" w14:paraId="24C494E3" w14:textId="77777777" w:rsidTr="003F3FA1">
        <w:trPr>
          <w:cantSplit/>
          <w:trHeight w:val="184"/>
        </w:trPr>
        <w:tc>
          <w:tcPr>
            <w:tcW w:w="2500" w:type="dxa"/>
          </w:tcPr>
          <w:p w14:paraId="0B8B1123" w14:textId="22ECAD6D" w:rsidR="00775873" w:rsidRDefault="00775873" w:rsidP="00775873">
            <w:pPr>
              <w:pStyle w:val="Tabletext"/>
            </w:pPr>
            <w:r>
              <w:t>Vending management system</w:t>
            </w:r>
          </w:p>
        </w:tc>
        <w:tc>
          <w:tcPr>
            <w:tcW w:w="3935" w:type="dxa"/>
          </w:tcPr>
          <w:p w14:paraId="711D197E" w14:textId="69FE2434" w:rsidR="00775873" w:rsidRDefault="00775873" w:rsidP="00775873">
            <w:pPr>
              <w:pStyle w:val="Tabletext"/>
            </w:pPr>
            <w:r>
              <w:t>Implement a vending management program to facilitate the orderly reintroduct</w:t>
            </w:r>
            <w:r w:rsidR="00B672B7">
              <w:t>ion of street vending in [COUNTRY’S]</w:t>
            </w:r>
            <w:r>
              <w:t xml:space="preserve"> cities</w:t>
            </w:r>
            <w:r w:rsidR="00B672B7">
              <w:t>.</w:t>
            </w:r>
          </w:p>
        </w:tc>
        <w:tc>
          <w:tcPr>
            <w:tcW w:w="1519" w:type="dxa"/>
          </w:tcPr>
          <w:p w14:paraId="0467F64E" w14:textId="21FBF477" w:rsidR="00775873" w:rsidRDefault="00B56BAF" w:rsidP="00775873">
            <w:pPr>
              <w:pStyle w:val="Tabletext"/>
            </w:pPr>
            <w:r>
              <w:t>[LOCAL AUTHORITIES]</w:t>
            </w:r>
          </w:p>
        </w:tc>
        <w:tc>
          <w:tcPr>
            <w:tcW w:w="1761" w:type="dxa"/>
          </w:tcPr>
          <w:p w14:paraId="6FE668C8" w14:textId="7783DA14" w:rsidR="00077B21" w:rsidRPr="001D2186" w:rsidRDefault="00B56BAF" w:rsidP="00077B21">
            <w:pPr>
              <w:pStyle w:val="Tabletext"/>
            </w:pPr>
            <w:r>
              <w:t>[LOCAL GOVERNMENT]</w:t>
            </w:r>
          </w:p>
          <w:p w14:paraId="2360C7CF" w14:textId="6F4742D8" w:rsidR="00775873" w:rsidRDefault="00775873" w:rsidP="00775873">
            <w:pPr>
              <w:pStyle w:val="Tabletext"/>
            </w:pPr>
          </w:p>
        </w:tc>
        <w:tc>
          <w:tcPr>
            <w:tcW w:w="2097" w:type="dxa"/>
          </w:tcPr>
          <w:p w14:paraId="52DE0FE3" w14:textId="7FF10D81" w:rsidR="00775873" w:rsidRDefault="00775873" w:rsidP="00775873">
            <w:pPr>
              <w:pStyle w:val="Tabletext"/>
            </w:pPr>
          </w:p>
        </w:tc>
        <w:tc>
          <w:tcPr>
            <w:tcW w:w="2275" w:type="dxa"/>
          </w:tcPr>
          <w:p w14:paraId="2C146071" w14:textId="7A43C3BA" w:rsidR="00775873" w:rsidRDefault="00775873" w:rsidP="00775873">
            <w:pPr>
              <w:pStyle w:val="Tabletext"/>
            </w:pPr>
            <w:r>
              <w:t>Staff time and modest costs for issuance of vending permits</w:t>
            </w:r>
          </w:p>
        </w:tc>
      </w:tr>
      <w:tr w:rsidR="00775873" w:rsidRPr="001D2186" w14:paraId="486F0ADB" w14:textId="77777777" w:rsidTr="003F3FA1">
        <w:trPr>
          <w:cantSplit/>
          <w:trHeight w:val="184"/>
        </w:trPr>
        <w:tc>
          <w:tcPr>
            <w:tcW w:w="14087" w:type="dxa"/>
            <w:gridSpan w:val="6"/>
          </w:tcPr>
          <w:p w14:paraId="33FB3D65" w14:textId="178C6B53" w:rsidR="00775873" w:rsidRPr="00884110" w:rsidRDefault="00775873" w:rsidP="00775873">
            <w:pPr>
              <w:pStyle w:val="Tabletext"/>
              <w:rPr>
                <w:b/>
                <w:bCs/>
              </w:rPr>
            </w:pPr>
            <w:r>
              <w:rPr>
                <w:b/>
                <w:bCs/>
              </w:rPr>
              <w:t>Engage road users through communications and outreach activities</w:t>
            </w:r>
          </w:p>
        </w:tc>
      </w:tr>
      <w:tr w:rsidR="00775873" w:rsidRPr="001D2186" w14:paraId="11B96507" w14:textId="77777777" w:rsidTr="003F3FA1">
        <w:trPr>
          <w:cantSplit/>
          <w:trHeight w:val="184"/>
        </w:trPr>
        <w:tc>
          <w:tcPr>
            <w:tcW w:w="2500" w:type="dxa"/>
          </w:tcPr>
          <w:p w14:paraId="41DC80AE" w14:textId="38031918" w:rsidR="00775873" w:rsidRPr="001D2186" w:rsidRDefault="00775873" w:rsidP="00775873">
            <w:pPr>
              <w:pStyle w:val="Tabletext"/>
            </w:pPr>
            <w:r w:rsidRPr="001D2186">
              <w:t>Car-free days</w:t>
            </w:r>
          </w:p>
        </w:tc>
        <w:tc>
          <w:tcPr>
            <w:tcW w:w="3935" w:type="dxa"/>
          </w:tcPr>
          <w:p w14:paraId="434162B6" w14:textId="4DA1F2E5" w:rsidR="00775873" w:rsidRPr="00884110" w:rsidRDefault="00775873" w:rsidP="00775873">
            <w:pPr>
              <w:pStyle w:val="Tabletext"/>
            </w:pPr>
            <w:r w:rsidRPr="00884110">
              <w:t>Host monthly car free days to raise awareness of the importance of NMT spaces and sustainable transport. Car</w:t>
            </w:r>
            <w:r>
              <w:t>-</w:t>
            </w:r>
            <w:r w:rsidRPr="00884110">
              <w:t xml:space="preserve">free spaces will illustrate the need for more NMT facilities in urban areas while providing an opportunity for </w:t>
            </w:r>
            <w:r>
              <w:t xml:space="preserve">local authorities </w:t>
            </w:r>
            <w:r w:rsidRPr="00884110">
              <w:t>to engage in public outreach.</w:t>
            </w:r>
          </w:p>
        </w:tc>
        <w:tc>
          <w:tcPr>
            <w:tcW w:w="1519" w:type="dxa"/>
          </w:tcPr>
          <w:p w14:paraId="3E74AF3E" w14:textId="196243C5" w:rsidR="00775873" w:rsidRPr="0012698E" w:rsidRDefault="00B56BAF" w:rsidP="00775873">
            <w:pPr>
              <w:pStyle w:val="Tabletext"/>
            </w:pPr>
            <w:r>
              <w:t>[LOCAL AUTHORITIES]</w:t>
            </w:r>
          </w:p>
        </w:tc>
        <w:tc>
          <w:tcPr>
            <w:tcW w:w="1761" w:type="dxa"/>
          </w:tcPr>
          <w:p w14:paraId="3049EF9F" w14:textId="3702ABE0" w:rsidR="00775873" w:rsidRDefault="00B56BAF" w:rsidP="00775873">
            <w:pPr>
              <w:pStyle w:val="Tabletext"/>
            </w:pPr>
            <w:r>
              <w:t>[TRANSPORT MINISTRY</w:t>
            </w:r>
          </w:p>
          <w:p w14:paraId="4F7C0CE3" w14:textId="2ACA003D" w:rsidR="00775873" w:rsidRDefault="00B56BAF" w:rsidP="00775873">
            <w:pPr>
              <w:pStyle w:val="Tabletext"/>
            </w:pPr>
            <w:r>
              <w:t>MINISTRY OF LOCAL GOVERNMENT</w:t>
            </w:r>
          </w:p>
          <w:p w14:paraId="2C20E5E9" w14:textId="6C4D463A" w:rsidR="00775873" w:rsidRDefault="00B56BAF" w:rsidP="00775873">
            <w:pPr>
              <w:pStyle w:val="Tabletext"/>
            </w:pPr>
            <w:r>
              <w:t>HOUSING MINISTRY</w:t>
            </w:r>
          </w:p>
          <w:p w14:paraId="7FAEF9A8" w14:textId="77A468AD" w:rsidR="00775873" w:rsidRDefault="00B56BAF" w:rsidP="00775873">
            <w:pPr>
              <w:pStyle w:val="Tabletext"/>
            </w:pPr>
            <w:r>
              <w:t>ROAD SAFETY AGENCY</w:t>
            </w:r>
          </w:p>
          <w:p w14:paraId="5B343C73" w14:textId="27754E86" w:rsidR="00775873" w:rsidRDefault="00B56BAF" w:rsidP="00775873">
            <w:pPr>
              <w:pStyle w:val="Tabletext"/>
            </w:pPr>
            <w:r w:rsidRPr="001D2186">
              <w:t>TRAFFIC POLICE</w:t>
            </w:r>
          </w:p>
          <w:p w14:paraId="1D73B02C" w14:textId="00D64431" w:rsidR="00775873" w:rsidRPr="0012698E" w:rsidRDefault="00B56BAF" w:rsidP="00775873">
            <w:pPr>
              <w:pStyle w:val="Tabletext"/>
            </w:pPr>
            <w:r w:rsidRPr="001D2186">
              <w:t>CIVIL SOCIETY</w:t>
            </w:r>
            <w:r>
              <w:t>]</w:t>
            </w:r>
          </w:p>
        </w:tc>
        <w:tc>
          <w:tcPr>
            <w:tcW w:w="2097" w:type="dxa"/>
          </w:tcPr>
          <w:p w14:paraId="7A3A48DE" w14:textId="5D9FFCD5" w:rsidR="00775873" w:rsidRDefault="00775873" w:rsidP="00775873">
            <w:pPr>
              <w:pStyle w:val="Tabletext"/>
            </w:pPr>
          </w:p>
        </w:tc>
        <w:tc>
          <w:tcPr>
            <w:tcW w:w="2275" w:type="dxa"/>
          </w:tcPr>
          <w:p w14:paraId="61987E8D" w14:textId="77777777" w:rsidR="00775873" w:rsidRPr="001D2186" w:rsidRDefault="00775873" w:rsidP="00775873">
            <w:pPr>
              <w:pStyle w:val="Tabletext"/>
            </w:pPr>
            <w:r w:rsidRPr="001D2186">
              <w:t>Staff time and public service announcements.</w:t>
            </w:r>
          </w:p>
          <w:p w14:paraId="323BE122" w14:textId="0492B635" w:rsidR="00775873" w:rsidRPr="001D2186" w:rsidRDefault="00775873" w:rsidP="00775873">
            <w:pPr>
              <w:pStyle w:val="Tabletext"/>
            </w:pPr>
            <w:r w:rsidRPr="001D2186">
              <w:t xml:space="preserve">Media adverts and social media. USD </w:t>
            </w:r>
            <w:r>
              <w:t>1</w:t>
            </w:r>
            <w:r w:rsidRPr="001D2186">
              <w:t xml:space="preserve">0,000 </w:t>
            </w:r>
            <w:r>
              <w:t xml:space="preserve">per event </w:t>
            </w:r>
            <w:r w:rsidRPr="001D2186">
              <w:t xml:space="preserve">for </w:t>
            </w:r>
            <w:r>
              <w:t>collateral and street management.</w:t>
            </w:r>
          </w:p>
          <w:p w14:paraId="290A7864" w14:textId="77777777" w:rsidR="00775873" w:rsidRDefault="00775873" w:rsidP="00775873">
            <w:pPr>
              <w:pStyle w:val="Tabletext"/>
            </w:pPr>
          </w:p>
        </w:tc>
      </w:tr>
      <w:tr w:rsidR="00775873" w:rsidRPr="001D2186" w14:paraId="71DFF899" w14:textId="77777777" w:rsidTr="003F3FA1">
        <w:trPr>
          <w:cantSplit/>
          <w:trHeight w:val="184"/>
        </w:trPr>
        <w:tc>
          <w:tcPr>
            <w:tcW w:w="2500" w:type="dxa"/>
          </w:tcPr>
          <w:p w14:paraId="3A2D1351" w14:textId="4A59FC95" w:rsidR="00775873" w:rsidRPr="001D2186" w:rsidRDefault="00775873" w:rsidP="00775873">
            <w:pPr>
              <w:pStyle w:val="Tabletext"/>
            </w:pPr>
            <w:r>
              <w:t>Scale up road safety trainings</w:t>
            </w:r>
          </w:p>
        </w:tc>
        <w:tc>
          <w:tcPr>
            <w:tcW w:w="3935" w:type="dxa"/>
          </w:tcPr>
          <w:p w14:paraId="6E4AD221" w14:textId="6108BDF9" w:rsidR="00775873" w:rsidRPr="0012698E" w:rsidRDefault="00775873" w:rsidP="00775873">
            <w:pPr>
              <w:pStyle w:val="Tabletext"/>
            </w:pPr>
            <w:r>
              <w:t>Conduct road safety trainings for at least 150,000 school children per year.</w:t>
            </w:r>
          </w:p>
        </w:tc>
        <w:tc>
          <w:tcPr>
            <w:tcW w:w="1519" w:type="dxa"/>
          </w:tcPr>
          <w:p w14:paraId="476C35AC" w14:textId="33C0CFF2" w:rsidR="00775873" w:rsidRPr="0012698E" w:rsidRDefault="00B56BAF" w:rsidP="00775873">
            <w:pPr>
              <w:pStyle w:val="Tabletext"/>
            </w:pPr>
            <w:r>
              <w:t>[ROAD SAFETY AGENCY]</w:t>
            </w:r>
          </w:p>
        </w:tc>
        <w:tc>
          <w:tcPr>
            <w:tcW w:w="1761" w:type="dxa"/>
          </w:tcPr>
          <w:p w14:paraId="4FBF9582" w14:textId="06F64B83" w:rsidR="00775873" w:rsidRDefault="00B56BAF" w:rsidP="00775873">
            <w:pPr>
              <w:pStyle w:val="Tabletext"/>
            </w:pPr>
            <w:r>
              <w:t>[TRANSPORT MINISTRY</w:t>
            </w:r>
          </w:p>
          <w:p w14:paraId="6C4FDF37" w14:textId="71CD4E3E" w:rsidR="00775873" w:rsidRDefault="00B56BAF" w:rsidP="00775873">
            <w:pPr>
              <w:pStyle w:val="Tabletext"/>
            </w:pPr>
            <w:r>
              <w:t>LOCAL GOVERNMENT MINISTRY</w:t>
            </w:r>
          </w:p>
          <w:p w14:paraId="73E84B63" w14:textId="5C7F39ED" w:rsidR="00775873" w:rsidRDefault="00B56BAF" w:rsidP="00775873">
            <w:pPr>
              <w:pStyle w:val="Tabletext"/>
            </w:pPr>
            <w:r>
              <w:t>TRAFFIC POLICE</w:t>
            </w:r>
          </w:p>
          <w:p w14:paraId="1D53E0BA" w14:textId="31BB96D7" w:rsidR="00775873" w:rsidRPr="0012698E" w:rsidRDefault="00B56BAF" w:rsidP="00775873">
            <w:pPr>
              <w:pStyle w:val="Tabletext"/>
            </w:pPr>
            <w:r>
              <w:t>CIVIL SOCIETY ORGANISATIONS]</w:t>
            </w:r>
          </w:p>
        </w:tc>
        <w:tc>
          <w:tcPr>
            <w:tcW w:w="2097" w:type="dxa"/>
          </w:tcPr>
          <w:p w14:paraId="35E0FFDC" w14:textId="5DB351AA" w:rsidR="00775873" w:rsidRDefault="00775873" w:rsidP="00775873">
            <w:pPr>
              <w:pStyle w:val="Tabletext"/>
            </w:pPr>
          </w:p>
        </w:tc>
        <w:tc>
          <w:tcPr>
            <w:tcW w:w="2275" w:type="dxa"/>
          </w:tcPr>
          <w:p w14:paraId="13C46EEB" w14:textId="667F9900" w:rsidR="00775873" w:rsidRDefault="00775873" w:rsidP="00775873">
            <w:pPr>
              <w:pStyle w:val="Tabletext"/>
            </w:pPr>
            <w:r>
              <w:t>Staff time</w:t>
            </w:r>
          </w:p>
        </w:tc>
      </w:tr>
      <w:tr w:rsidR="00775873" w:rsidRPr="001D2186" w14:paraId="6F0A1A93" w14:textId="77777777" w:rsidTr="003F3FA1">
        <w:trPr>
          <w:cantSplit/>
          <w:trHeight w:val="184"/>
        </w:trPr>
        <w:tc>
          <w:tcPr>
            <w:tcW w:w="2500" w:type="dxa"/>
          </w:tcPr>
          <w:p w14:paraId="61DEF82A" w14:textId="4BEDD107" w:rsidR="00775873" w:rsidRPr="001D2186" w:rsidRDefault="00C0649D" w:rsidP="00775873">
            <w:pPr>
              <w:pStyle w:val="Tabletext"/>
            </w:pPr>
            <w:r>
              <w:lastRenderedPageBreak/>
              <w:t>Dissemination of [COUNTRY]</w:t>
            </w:r>
            <w:r w:rsidR="00775873" w:rsidRPr="001D2186">
              <w:t xml:space="preserve"> NMT strategy </w:t>
            </w:r>
          </w:p>
        </w:tc>
        <w:tc>
          <w:tcPr>
            <w:tcW w:w="3935" w:type="dxa"/>
          </w:tcPr>
          <w:p w14:paraId="41E35260" w14:textId="202C9E72" w:rsidR="00775873" w:rsidRPr="0012698E" w:rsidRDefault="00212EC8" w:rsidP="00775873">
            <w:pPr>
              <w:pStyle w:val="Tabletext"/>
            </w:pPr>
            <w:r>
              <w:t>Publicise the [Country]</w:t>
            </w:r>
            <w:r w:rsidR="00775873" w:rsidRPr="001D2186">
              <w:t xml:space="preserve"> NMT strategy and issue a clear directive making clear that the provision of high quality NMT facilities is one </w:t>
            </w:r>
            <w:r w:rsidR="00C0649D">
              <w:t>of the top priorities for [COUNTRY]</w:t>
            </w:r>
            <w:r w:rsidR="009C65A1">
              <w:t xml:space="preserve">, including </w:t>
            </w:r>
            <w:r w:rsidR="009C65A1" w:rsidRPr="001D2186">
              <w:t>distribution on social media and government websites</w:t>
            </w:r>
            <w:r w:rsidR="009C65A1">
              <w:t>.</w:t>
            </w:r>
          </w:p>
        </w:tc>
        <w:tc>
          <w:tcPr>
            <w:tcW w:w="1519" w:type="dxa"/>
          </w:tcPr>
          <w:p w14:paraId="48DC1506" w14:textId="46CC5E91" w:rsidR="00775873" w:rsidRPr="0012698E" w:rsidRDefault="00B56BAF" w:rsidP="00775873">
            <w:pPr>
              <w:pStyle w:val="Tabletext"/>
            </w:pPr>
            <w:r>
              <w:t>[</w:t>
            </w:r>
            <w:r w:rsidR="00BD2237">
              <w:t>TRANSPORT MINISTRY</w:t>
            </w:r>
            <w:r>
              <w:t>]</w:t>
            </w:r>
          </w:p>
        </w:tc>
        <w:tc>
          <w:tcPr>
            <w:tcW w:w="1761" w:type="dxa"/>
          </w:tcPr>
          <w:p w14:paraId="03F473C6" w14:textId="099DB7CB" w:rsidR="00775873" w:rsidRPr="001D2186" w:rsidRDefault="00B56BAF" w:rsidP="00775873">
            <w:pPr>
              <w:pStyle w:val="Tabletext"/>
            </w:pPr>
            <w:r>
              <w:t>[</w:t>
            </w:r>
            <w:r w:rsidR="00BD2237">
              <w:t>LOCAL GOVERNMENT MINISTRY</w:t>
            </w:r>
            <w:r w:rsidR="00BD2237" w:rsidRPr="001D2186">
              <w:t xml:space="preserve">, </w:t>
            </w:r>
            <w:r w:rsidR="00BD2237">
              <w:t xml:space="preserve">HOUSING MINISTRY, ROAD SAFETY </w:t>
            </w:r>
            <w:r w:rsidR="00BD2237" w:rsidRPr="001D2186">
              <w:t>A</w:t>
            </w:r>
            <w:r w:rsidR="00BD2237">
              <w:t xml:space="preserve">GENCY, ROAD </w:t>
            </w:r>
            <w:r w:rsidR="00BD2237" w:rsidRPr="001D2186">
              <w:t>A</w:t>
            </w:r>
            <w:r w:rsidR="00BD2237">
              <w:t>GENCY.</w:t>
            </w:r>
          </w:p>
          <w:p w14:paraId="3E1F7374" w14:textId="2550035C" w:rsidR="00775873" w:rsidRPr="0012698E" w:rsidRDefault="00BD2237" w:rsidP="00775873">
            <w:pPr>
              <w:pStyle w:val="Tabletext"/>
            </w:pPr>
            <w:r w:rsidRPr="001D2186">
              <w:t>ENGINEERING AND URBAN PLANNING ASSOCIATIONS, CIVIL SOCIETY</w:t>
            </w:r>
            <w:r w:rsidR="00B56BAF">
              <w:t>]</w:t>
            </w:r>
          </w:p>
        </w:tc>
        <w:tc>
          <w:tcPr>
            <w:tcW w:w="2097" w:type="dxa"/>
          </w:tcPr>
          <w:p w14:paraId="579CEEAC" w14:textId="4350E23D" w:rsidR="00775873" w:rsidRDefault="00775873" w:rsidP="00775873">
            <w:pPr>
              <w:pStyle w:val="Tabletext"/>
            </w:pPr>
          </w:p>
        </w:tc>
        <w:tc>
          <w:tcPr>
            <w:tcW w:w="2275" w:type="dxa"/>
          </w:tcPr>
          <w:p w14:paraId="3A7D2BE7" w14:textId="7E9FA099" w:rsidR="00775873" w:rsidRDefault="00775873" w:rsidP="00775873">
            <w:pPr>
              <w:pStyle w:val="Tabletext"/>
            </w:pPr>
            <w:r w:rsidRPr="001D2186">
              <w:t xml:space="preserve">USD </w:t>
            </w:r>
            <w:r w:rsidR="009C65A1">
              <w:t>2</w:t>
            </w:r>
            <w:r w:rsidRPr="001D2186">
              <w:t xml:space="preserve">,000 for </w:t>
            </w:r>
            <w:r w:rsidR="009C65A1">
              <w:t>printing and distribution of the NMT Strategy to relevant government agencies</w:t>
            </w:r>
            <w:r w:rsidRPr="001D2186">
              <w:t>.</w:t>
            </w:r>
          </w:p>
        </w:tc>
      </w:tr>
      <w:tr w:rsidR="00775873" w:rsidRPr="001D2186" w14:paraId="2811C774" w14:textId="77777777" w:rsidTr="003F3FA1">
        <w:trPr>
          <w:cantSplit/>
          <w:trHeight w:val="184"/>
        </w:trPr>
        <w:tc>
          <w:tcPr>
            <w:tcW w:w="14087" w:type="dxa"/>
            <w:gridSpan w:val="6"/>
          </w:tcPr>
          <w:p w14:paraId="42934D85" w14:textId="5D15692F" w:rsidR="00775873" w:rsidRPr="00884110" w:rsidRDefault="00775873" w:rsidP="00775873">
            <w:pPr>
              <w:pStyle w:val="Tabletext"/>
              <w:rPr>
                <w:b/>
                <w:bCs/>
              </w:rPr>
            </w:pPr>
            <w:r>
              <w:rPr>
                <w:b/>
                <w:bCs/>
              </w:rPr>
              <w:t>Plan for NMT improvements and monitor progress</w:t>
            </w:r>
          </w:p>
        </w:tc>
      </w:tr>
      <w:tr w:rsidR="006061D9" w:rsidRPr="001D2186" w14:paraId="74A0CE28" w14:textId="77777777" w:rsidTr="003F3FA1">
        <w:trPr>
          <w:cantSplit/>
          <w:trHeight w:val="184"/>
        </w:trPr>
        <w:tc>
          <w:tcPr>
            <w:tcW w:w="2500" w:type="dxa"/>
          </w:tcPr>
          <w:p w14:paraId="2BB60B52" w14:textId="216B79A8" w:rsidR="006061D9" w:rsidRPr="001D2186" w:rsidRDefault="006061D9" w:rsidP="006061D9">
            <w:pPr>
              <w:pStyle w:val="Tabletext"/>
            </w:pPr>
            <w:r>
              <w:t>Design review for ongoing projects</w:t>
            </w:r>
          </w:p>
        </w:tc>
        <w:tc>
          <w:tcPr>
            <w:tcW w:w="3935" w:type="dxa"/>
          </w:tcPr>
          <w:p w14:paraId="01DD1C7D" w14:textId="29998ECB" w:rsidR="006061D9" w:rsidRPr="001D2186" w:rsidRDefault="006061D9" w:rsidP="006061D9">
            <w:pPr>
              <w:pStyle w:val="Tabletext"/>
            </w:pPr>
            <w:r>
              <w:t>Review the designs for ongoing projects</w:t>
            </w:r>
          </w:p>
        </w:tc>
        <w:tc>
          <w:tcPr>
            <w:tcW w:w="1519" w:type="dxa"/>
          </w:tcPr>
          <w:p w14:paraId="1A9A96C4" w14:textId="775CEC1C" w:rsidR="006061D9" w:rsidRPr="001D2186" w:rsidRDefault="00B56BAF" w:rsidP="006061D9">
            <w:pPr>
              <w:pStyle w:val="Tabletext"/>
            </w:pPr>
            <w:r>
              <w:t>[</w:t>
            </w:r>
            <w:r w:rsidR="00BD2237">
              <w:t>LOCAL GOVERNMENT MINISTRY</w:t>
            </w:r>
            <w:r>
              <w:t>]</w:t>
            </w:r>
          </w:p>
        </w:tc>
        <w:tc>
          <w:tcPr>
            <w:tcW w:w="1761" w:type="dxa"/>
          </w:tcPr>
          <w:p w14:paraId="6CF35873" w14:textId="4957D06E" w:rsidR="006061D9" w:rsidRDefault="00BD2237" w:rsidP="006061D9">
            <w:pPr>
              <w:pStyle w:val="Tabletext"/>
            </w:pPr>
            <w:r>
              <w:t>LOCAL GOVERNMENT</w:t>
            </w:r>
          </w:p>
          <w:p w14:paraId="3796AF41" w14:textId="02A09249" w:rsidR="006061D9" w:rsidRDefault="00BD2237" w:rsidP="006061D9">
            <w:pPr>
              <w:pStyle w:val="Tabletext"/>
            </w:pPr>
            <w:r>
              <w:t>TRANSPORT MINISTRY</w:t>
            </w:r>
            <w:r w:rsidR="00B56BAF">
              <w:t>]</w:t>
            </w:r>
          </w:p>
        </w:tc>
        <w:tc>
          <w:tcPr>
            <w:tcW w:w="2097" w:type="dxa"/>
          </w:tcPr>
          <w:p w14:paraId="2ACE171F" w14:textId="11042531" w:rsidR="006061D9" w:rsidRPr="001D2186" w:rsidRDefault="006061D9" w:rsidP="006061D9">
            <w:pPr>
              <w:pStyle w:val="Tabletext"/>
            </w:pPr>
          </w:p>
        </w:tc>
        <w:tc>
          <w:tcPr>
            <w:tcW w:w="2275" w:type="dxa"/>
          </w:tcPr>
          <w:p w14:paraId="3F59D72E" w14:textId="0BAA3127" w:rsidR="006061D9" w:rsidRPr="001D2186" w:rsidRDefault="006061D9" w:rsidP="006061D9">
            <w:pPr>
              <w:pStyle w:val="Tabletext"/>
            </w:pPr>
            <w:r>
              <w:t>Staff time</w:t>
            </w:r>
          </w:p>
        </w:tc>
      </w:tr>
      <w:tr w:rsidR="00775873" w:rsidRPr="001D2186" w14:paraId="1F14C92B" w14:textId="77777777" w:rsidTr="003F3FA1">
        <w:trPr>
          <w:cantSplit/>
          <w:trHeight w:val="184"/>
        </w:trPr>
        <w:tc>
          <w:tcPr>
            <w:tcW w:w="2500" w:type="dxa"/>
          </w:tcPr>
          <w:p w14:paraId="32C64191" w14:textId="653EC212" w:rsidR="00775873" w:rsidRPr="001D2186" w:rsidRDefault="00775873" w:rsidP="00775873">
            <w:pPr>
              <w:pStyle w:val="Tabletext"/>
            </w:pPr>
            <w:r w:rsidRPr="001D2186">
              <w:t xml:space="preserve">Identification of </w:t>
            </w:r>
            <w:r>
              <w:t>hazardous locations for NMT users</w:t>
            </w:r>
          </w:p>
        </w:tc>
        <w:tc>
          <w:tcPr>
            <w:tcW w:w="3935" w:type="dxa"/>
          </w:tcPr>
          <w:p w14:paraId="7ACE2FB7" w14:textId="14F4E9F0" w:rsidR="00775873" w:rsidRPr="001D2186" w:rsidRDefault="00775873" w:rsidP="00775873">
            <w:pPr>
              <w:pStyle w:val="Tabletext"/>
            </w:pPr>
            <w:r w:rsidRPr="001D2186">
              <w:t xml:space="preserve">Analyse crash data to determine black spots where </w:t>
            </w:r>
            <w:r>
              <w:t>NMT user</w:t>
            </w:r>
            <w:r w:rsidRPr="001D2186">
              <w:t xml:space="preserve"> deaths from traffic crashes are concentrated.</w:t>
            </w:r>
          </w:p>
        </w:tc>
        <w:tc>
          <w:tcPr>
            <w:tcW w:w="1519" w:type="dxa"/>
          </w:tcPr>
          <w:p w14:paraId="530969BA" w14:textId="3FE567B8" w:rsidR="00775873" w:rsidRPr="001D2186" w:rsidRDefault="00B56BAF" w:rsidP="00775873">
            <w:pPr>
              <w:pStyle w:val="Tabletext"/>
            </w:pPr>
            <w:r>
              <w:t>[</w:t>
            </w:r>
            <w:r w:rsidR="00BD2237">
              <w:t>ROAD SAFETY MINISTRY</w:t>
            </w:r>
            <w:r>
              <w:t>]</w:t>
            </w:r>
          </w:p>
        </w:tc>
        <w:tc>
          <w:tcPr>
            <w:tcW w:w="1761" w:type="dxa"/>
          </w:tcPr>
          <w:p w14:paraId="2B29F44A" w14:textId="63F8717D" w:rsidR="00775873" w:rsidRPr="001D2186" w:rsidRDefault="00B56BAF" w:rsidP="00775873">
            <w:pPr>
              <w:pStyle w:val="Tabletext"/>
            </w:pPr>
            <w:r>
              <w:t>[</w:t>
            </w:r>
            <w:r w:rsidR="00BD2237">
              <w:t>TRANSPORT MINISTRY</w:t>
            </w:r>
          </w:p>
          <w:p w14:paraId="038D8E0F" w14:textId="65189C16" w:rsidR="00775873" w:rsidRPr="001D2186" w:rsidRDefault="00BD2237" w:rsidP="00775873">
            <w:pPr>
              <w:pStyle w:val="Tabletext"/>
            </w:pPr>
            <w:r w:rsidRPr="001D2186">
              <w:t>TRAFFIC POLICE</w:t>
            </w:r>
            <w:r w:rsidR="00B56BAF">
              <w:t>]</w:t>
            </w:r>
          </w:p>
        </w:tc>
        <w:tc>
          <w:tcPr>
            <w:tcW w:w="2097" w:type="dxa"/>
          </w:tcPr>
          <w:p w14:paraId="688F7A63" w14:textId="296286A9" w:rsidR="00775873" w:rsidRPr="001D2186" w:rsidRDefault="00775873" w:rsidP="00775873">
            <w:pPr>
              <w:pStyle w:val="Tabletext"/>
            </w:pPr>
          </w:p>
        </w:tc>
        <w:tc>
          <w:tcPr>
            <w:tcW w:w="2275" w:type="dxa"/>
          </w:tcPr>
          <w:p w14:paraId="635716DB" w14:textId="59C82CEC" w:rsidR="00775873" w:rsidRPr="001D2186" w:rsidRDefault="00775873" w:rsidP="00775873">
            <w:pPr>
              <w:pStyle w:val="Tabletext"/>
            </w:pPr>
            <w:r w:rsidRPr="001D2186">
              <w:t>Staff time</w:t>
            </w:r>
          </w:p>
        </w:tc>
      </w:tr>
      <w:tr w:rsidR="00775873" w:rsidRPr="001D2186" w14:paraId="31034DEA" w14:textId="77777777" w:rsidTr="003F3FA1">
        <w:trPr>
          <w:cantSplit/>
          <w:trHeight w:val="184"/>
        </w:trPr>
        <w:tc>
          <w:tcPr>
            <w:tcW w:w="2500" w:type="dxa"/>
          </w:tcPr>
          <w:p w14:paraId="7B7648E4" w14:textId="7FFB6757" w:rsidR="00775873" w:rsidRPr="001D2186" w:rsidRDefault="00775873" w:rsidP="00775873">
            <w:pPr>
              <w:pStyle w:val="Tabletext"/>
            </w:pPr>
            <w:r w:rsidRPr="001D2186">
              <w:t>Citywide audits of NMT facilities</w:t>
            </w:r>
          </w:p>
        </w:tc>
        <w:tc>
          <w:tcPr>
            <w:tcW w:w="3935" w:type="dxa"/>
          </w:tcPr>
          <w:p w14:paraId="03D73D9B" w14:textId="54F7FFB1" w:rsidR="00775873" w:rsidRPr="001D2186" w:rsidRDefault="00775873" w:rsidP="00775873">
            <w:pPr>
              <w:pStyle w:val="Tabletext"/>
            </w:pPr>
            <w:r w:rsidRPr="001D2186">
              <w:t xml:space="preserve">Undertake NMT condition audit and stock </w:t>
            </w:r>
            <w:r w:rsidR="00743859">
              <w:t>taking in 10 key towns in [Country]</w:t>
            </w:r>
            <w:r w:rsidRPr="001D2186">
              <w:t xml:space="preserve">. Identify and quantify priority streets for NMT </w:t>
            </w:r>
            <w:proofErr w:type="gramStart"/>
            <w:r w:rsidRPr="001D2186">
              <w:t>implementation.</w:t>
            </w:r>
            <w:r w:rsidR="00BC2219" w:rsidRPr="001D2186">
              <w:t>.</w:t>
            </w:r>
            <w:proofErr w:type="gramEnd"/>
          </w:p>
        </w:tc>
        <w:tc>
          <w:tcPr>
            <w:tcW w:w="1519" w:type="dxa"/>
          </w:tcPr>
          <w:p w14:paraId="736310A3" w14:textId="617C6747" w:rsidR="00775873" w:rsidRPr="001D2186" w:rsidRDefault="00B56BAF" w:rsidP="00775873">
            <w:pPr>
              <w:pStyle w:val="Tabletext"/>
            </w:pPr>
            <w:r>
              <w:t>[</w:t>
            </w:r>
            <w:r w:rsidR="00BD2237" w:rsidRPr="001D2186">
              <w:t>LOCAL AUTHORITIES</w:t>
            </w:r>
            <w:r>
              <w:t>]</w:t>
            </w:r>
          </w:p>
        </w:tc>
        <w:tc>
          <w:tcPr>
            <w:tcW w:w="1761" w:type="dxa"/>
          </w:tcPr>
          <w:p w14:paraId="3A82394C" w14:textId="472EA839" w:rsidR="00775873" w:rsidRPr="001D2186" w:rsidRDefault="00B56BAF" w:rsidP="00775873">
            <w:pPr>
              <w:pStyle w:val="Tabletext"/>
            </w:pPr>
            <w:r>
              <w:t>[</w:t>
            </w:r>
            <w:r w:rsidR="00BD2237">
              <w:t>MINISTRY OF TRANSPORT</w:t>
            </w:r>
          </w:p>
          <w:p w14:paraId="30DCEAA8" w14:textId="5C39C771" w:rsidR="00775873" w:rsidRPr="001D2186" w:rsidRDefault="00BD2237" w:rsidP="00775873">
            <w:pPr>
              <w:pStyle w:val="Tabletext"/>
            </w:pPr>
            <w:r>
              <w:t>HOUSING MINISTRY</w:t>
            </w:r>
          </w:p>
          <w:p w14:paraId="262304E7" w14:textId="7C28E037" w:rsidR="00775873" w:rsidRPr="001D2186" w:rsidRDefault="00BD2237" w:rsidP="00775873">
            <w:pPr>
              <w:pStyle w:val="Tabletext"/>
            </w:pPr>
            <w:r>
              <w:t>LOCAL GOVERNMENT</w:t>
            </w:r>
            <w:r w:rsidR="00B56BAF">
              <w:t>]</w:t>
            </w:r>
          </w:p>
          <w:p w14:paraId="287FCB8A" w14:textId="42B3B5F9" w:rsidR="00775873" w:rsidRPr="001D2186" w:rsidRDefault="00775873" w:rsidP="00775873">
            <w:pPr>
              <w:pStyle w:val="Tabletext"/>
            </w:pPr>
          </w:p>
          <w:p w14:paraId="49B03AC2" w14:textId="77777777" w:rsidR="00775873" w:rsidRPr="001D2186" w:rsidRDefault="00775873" w:rsidP="00775873">
            <w:pPr>
              <w:pStyle w:val="Tabletext"/>
            </w:pPr>
          </w:p>
        </w:tc>
        <w:tc>
          <w:tcPr>
            <w:tcW w:w="2097" w:type="dxa"/>
          </w:tcPr>
          <w:p w14:paraId="08CB0536" w14:textId="56EE69D9" w:rsidR="00775873" w:rsidRPr="001D2186" w:rsidRDefault="00775873" w:rsidP="00775873">
            <w:pPr>
              <w:pStyle w:val="Tabletext"/>
            </w:pPr>
          </w:p>
        </w:tc>
        <w:tc>
          <w:tcPr>
            <w:tcW w:w="2275" w:type="dxa"/>
          </w:tcPr>
          <w:p w14:paraId="0FB5156A" w14:textId="49191C3E" w:rsidR="00BC2219" w:rsidRPr="001D2186" w:rsidRDefault="00775873" w:rsidP="00BC2219">
            <w:pPr>
              <w:pStyle w:val="Tabletext"/>
            </w:pPr>
            <w:r w:rsidRPr="001D2186">
              <w:t xml:space="preserve">USD 50,000 </w:t>
            </w:r>
            <w:r>
              <w:t>to hire a consultant for audit</w:t>
            </w:r>
            <w:r w:rsidR="00BC2219">
              <w:t>. Staff time for other cities &amp; towns</w:t>
            </w:r>
          </w:p>
        </w:tc>
      </w:tr>
      <w:tr w:rsidR="00BE069D" w:rsidRPr="001D2186" w14:paraId="352BE12B" w14:textId="77777777" w:rsidTr="003F3FA1">
        <w:trPr>
          <w:cantSplit/>
          <w:trHeight w:val="184"/>
        </w:trPr>
        <w:tc>
          <w:tcPr>
            <w:tcW w:w="2500" w:type="dxa"/>
          </w:tcPr>
          <w:p w14:paraId="72E02EC6" w14:textId="2E472AF4" w:rsidR="00BE069D" w:rsidRDefault="00BE069D" w:rsidP="00775873">
            <w:pPr>
              <w:pStyle w:val="Tabletext"/>
            </w:pPr>
            <w:r>
              <w:t>Mobility plans</w:t>
            </w:r>
          </w:p>
        </w:tc>
        <w:tc>
          <w:tcPr>
            <w:tcW w:w="3935" w:type="dxa"/>
          </w:tcPr>
          <w:p w14:paraId="1D6F595E" w14:textId="5BDCADAD" w:rsidR="00BE069D" w:rsidRDefault="00BE069D" w:rsidP="00775873">
            <w:pPr>
              <w:pStyle w:val="Tabletext"/>
            </w:pPr>
            <w:r>
              <w:t>Preparation of mobility plans by local authorities.</w:t>
            </w:r>
          </w:p>
        </w:tc>
        <w:tc>
          <w:tcPr>
            <w:tcW w:w="1519" w:type="dxa"/>
          </w:tcPr>
          <w:p w14:paraId="53C4334E" w14:textId="2B7A7A72" w:rsidR="00BE069D" w:rsidRDefault="00B56BAF" w:rsidP="00775873">
            <w:pPr>
              <w:pStyle w:val="Tabletext"/>
            </w:pPr>
            <w:r>
              <w:t>[</w:t>
            </w:r>
            <w:r w:rsidR="00BD2237">
              <w:t>LOCAL AUTHORITIES</w:t>
            </w:r>
            <w:r>
              <w:t>]</w:t>
            </w:r>
          </w:p>
        </w:tc>
        <w:tc>
          <w:tcPr>
            <w:tcW w:w="1761" w:type="dxa"/>
          </w:tcPr>
          <w:p w14:paraId="30AFB7FA" w14:textId="14B83F02" w:rsidR="00BE069D" w:rsidRDefault="00B56BAF" w:rsidP="00775873">
            <w:pPr>
              <w:pStyle w:val="Tabletext"/>
            </w:pPr>
            <w:r>
              <w:t>[</w:t>
            </w:r>
            <w:r w:rsidR="00BD2237">
              <w:t>LOCAL GOVERNMENT MINISTRY</w:t>
            </w:r>
          </w:p>
          <w:p w14:paraId="28F10E1B" w14:textId="7B55F029" w:rsidR="00BE069D" w:rsidRDefault="00BD2237" w:rsidP="00775873">
            <w:pPr>
              <w:pStyle w:val="Tabletext"/>
            </w:pPr>
            <w:r>
              <w:t>TRANSPORT MINISTRY</w:t>
            </w:r>
            <w:r w:rsidR="00B56BAF">
              <w:t>]</w:t>
            </w:r>
          </w:p>
        </w:tc>
        <w:tc>
          <w:tcPr>
            <w:tcW w:w="2097" w:type="dxa"/>
          </w:tcPr>
          <w:p w14:paraId="42B6E252" w14:textId="135F949C" w:rsidR="00BE069D" w:rsidRPr="001D2186" w:rsidRDefault="00BE069D" w:rsidP="00775873">
            <w:pPr>
              <w:pStyle w:val="Tabletext"/>
            </w:pPr>
          </w:p>
        </w:tc>
        <w:tc>
          <w:tcPr>
            <w:tcW w:w="2275" w:type="dxa"/>
          </w:tcPr>
          <w:p w14:paraId="7D154CAF" w14:textId="297755C8" w:rsidR="00BE069D" w:rsidRPr="001D2186" w:rsidRDefault="00BE069D" w:rsidP="00775873">
            <w:pPr>
              <w:pStyle w:val="Tabletext"/>
            </w:pPr>
            <w:r>
              <w:t>USD 500,000 for the</w:t>
            </w:r>
            <w:r w:rsidR="004E1DAA">
              <w:t xml:space="preserve"> </w:t>
            </w:r>
            <w:r>
              <w:t xml:space="preserve">mobility plan. </w:t>
            </w:r>
          </w:p>
        </w:tc>
      </w:tr>
      <w:tr w:rsidR="00775873" w:rsidRPr="001D2186" w14:paraId="55FB578B" w14:textId="77777777" w:rsidTr="003F3FA1">
        <w:trPr>
          <w:cantSplit/>
          <w:trHeight w:val="184"/>
        </w:trPr>
        <w:tc>
          <w:tcPr>
            <w:tcW w:w="2500" w:type="dxa"/>
          </w:tcPr>
          <w:p w14:paraId="603C85A0" w14:textId="317BF674" w:rsidR="00775873" w:rsidRPr="001D2186" w:rsidRDefault="00775873" w:rsidP="00775873">
            <w:pPr>
              <w:pStyle w:val="Tabletext"/>
            </w:pPr>
            <w:r>
              <w:t>Local NMT environment monitoring</w:t>
            </w:r>
          </w:p>
        </w:tc>
        <w:tc>
          <w:tcPr>
            <w:tcW w:w="3935" w:type="dxa"/>
          </w:tcPr>
          <w:p w14:paraId="0CDF2378" w14:textId="270C3AFB" w:rsidR="00775873" w:rsidRDefault="00775873" w:rsidP="00775873">
            <w:pPr>
              <w:pStyle w:val="Tabletext"/>
            </w:pPr>
            <w:r>
              <w:t>Collect data on NMT infrastructure and usage to inform the monitoring of the NMT Strategy.</w:t>
            </w:r>
          </w:p>
        </w:tc>
        <w:tc>
          <w:tcPr>
            <w:tcW w:w="1519" w:type="dxa"/>
          </w:tcPr>
          <w:p w14:paraId="67606BFD" w14:textId="0B50E843" w:rsidR="00775873" w:rsidRPr="001D2186" w:rsidRDefault="00977EB1" w:rsidP="00775873">
            <w:pPr>
              <w:pStyle w:val="Tabletext"/>
            </w:pPr>
            <w:r>
              <w:t>[</w:t>
            </w:r>
            <w:r w:rsidR="00BD2237">
              <w:t>LOCAL AUTHORITIES</w:t>
            </w:r>
            <w:r>
              <w:t>]</w:t>
            </w:r>
          </w:p>
        </w:tc>
        <w:tc>
          <w:tcPr>
            <w:tcW w:w="1761" w:type="dxa"/>
          </w:tcPr>
          <w:p w14:paraId="2C510214" w14:textId="6C087FEF" w:rsidR="00775873" w:rsidRDefault="00977EB1" w:rsidP="00775873">
            <w:pPr>
              <w:pStyle w:val="Tabletext"/>
            </w:pPr>
            <w:r>
              <w:t>[</w:t>
            </w:r>
            <w:r w:rsidR="00BD2237">
              <w:t>TRANSPORT MINISTRY</w:t>
            </w:r>
          </w:p>
          <w:p w14:paraId="791BA7FE" w14:textId="075F3F35" w:rsidR="00775873" w:rsidRPr="001D2186" w:rsidRDefault="00BD2237" w:rsidP="00775873">
            <w:pPr>
              <w:pStyle w:val="Tabletext"/>
            </w:pPr>
            <w:r>
              <w:t>LOCAL GOVERNMENT MINISTRY</w:t>
            </w:r>
            <w:r w:rsidR="00977EB1">
              <w:t>]</w:t>
            </w:r>
          </w:p>
        </w:tc>
        <w:tc>
          <w:tcPr>
            <w:tcW w:w="2097" w:type="dxa"/>
          </w:tcPr>
          <w:p w14:paraId="3508A85F" w14:textId="54D4D1ED" w:rsidR="00775873" w:rsidRPr="001D2186" w:rsidRDefault="00775873" w:rsidP="00775873">
            <w:pPr>
              <w:pStyle w:val="Tabletext"/>
            </w:pPr>
          </w:p>
        </w:tc>
        <w:tc>
          <w:tcPr>
            <w:tcW w:w="2275" w:type="dxa"/>
          </w:tcPr>
          <w:p w14:paraId="283009F9" w14:textId="0E3CD000" w:rsidR="00775873" w:rsidRPr="001D2186" w:rsidRDefault="00775873" w:rsidP="00775873">
            <w:pPr>
              <w:pStyle w:val="Tabletext"/>
            </w:pPr>
            <w:r w:rsidRPr="001D2186">
              <w:t>Support from project design consultants. Staff time from local authorities</w:t>
            </w:r>
          </w:p>
        </w:tc>
      </w:tr>
      <w:tr w:rsidR="006021A5" w:rsidRPr="001D2186" w14:paraId="3CE3D9AE" w14:textId="77777777" w:rsidTr="003F3FA1">
        <w:trPr>
          <w:cantSplit/>
          <w:trHeight w:val="184"/>
        </w:trPr>
        <w:tc>
          <w:tcPr>
            <w:tcW w:w="2500" w:type="dxa"/>
          </w:tcPr>
          <w:p w14:paraId="50F9582A" w14:textId="6D0DF912" w:rsidR="006021A5" w:rsidRPr="001D2186" w:rsidRDefault="006021A5" w:rsidP="006021A5">
            <w:pPr>
              <w:pStyle w:val="Tabletext"/>
            </w:pPr>
            <w:r>
              <w:lastRenderedPageBreak/>
              <w:t>NMT network</w:t>
            </w:r>
            <w:r w:rsidRPr="001D2186">
              <w:t xml:space="preserve"> plan </w:t>
            </w:r>
          </w:p>
        </w:tc>
        <w:tc>
          <w:tcPr>
            <w:tcW w:w="3935" w:type="dxa"/>
          </w:tcPr>
          <w:p w14:paraId="08B82950" w14:textId="754D5FBE" w:rsidR="006021A5" w:rsidRPr="001D2186" w:rsidRDefault="006021A5" w:rsidP="006021A5">
            <w:pPr>
              <w:pStyle w:val="Tabletext"/>
            </w:pPr>
            <w:r w:rsidRPr="001D2186">
              <w:t xml:space="preserve">Prepare a citywide network plan for </w:t>
            </w:r>
            <w:r>
              <w:t xml:space="preserve">walking </w:t>
            </w:r>
            <w:r w:rsidR="004A75B5">
              <w:t>and cycling facilities in [City]</w:t>
            </w:r>
            <w:r>
              <w:t xml:space="preserve"> to guide street development projects.</w:t>
            </w:r>
          </w:p>
        </w:tc>
        <w:tc>
          <w:tcPr>
            <w:tcW w:w="1519" w:type="dxa"/>
          </w:tcPr>
          <w:p w14:paraId="1C15A4AD" w14:textId="6A50CE34" w:rsidR="006021A5" w:rsidRPr="001D2186" w:rsidRDefault="00977EB1" w:rsidP="006021A5">
            <w:pPr>
              <w:pStyle w:val="Tabletext"/>
            </w:pPr>
            <w:r>
              <w:t>[LOCAL AUTHORITY]</w:t>
            </w:r>
          </w:p>
        </w:tc>
        <w:tc>
          <w:tcPr>
            <w:tcW w:w="1761" w:type="dxa"/>
          </w:tcPr>
          <w:p w14:paraId="160DFD46" w14:textId="3BEAD82F" w:rsidR="004A75B5" w:rsidRDefault="00977EB1" w:rsidP="004A75B5">
            <w:pPr>
              <w:pStyle w:val="Tabletext"/>
            </w:pPr>
            <w:r>
              <w:t>[</w:t>
            </w:r>
            <w:r w:rsidR="00BD2237">
              <w:t>TRANSPORT MINISTRY</w:t>
            </w:r>
          </w:p>
          <w:p w14:paraId="31BA1E1A" w14:textId="1D96E031" w:rsidR="004A75B5" w:rsidRDefault="00BD2237" w:rsidP="004A75B5">
            <w:pPr>
              <w:pStyle w:val="Tabletext"/>
            </w:pPr>
            <w:r>
              <w:t>HOUSING MINISTRY</w:t>
            </w:r>
          </w:p>
          <w:p w14:paraId="3A8061EC" w14:textId="7E166342" w:rsidR="006021A5" w:rsidRPr="001D2186" w:rsidRDefault="00BD2237" w:rsidP="006021A5">
            <w:pPr>
              <w:pStyle w:val="Tabletext"/>
            </w:pPr>
            <w:r>
              <w:t>ROAD AGENCY</w:t>
            </w:r>
            <w:r w:rsidR="00977EB1">
              <w:t>]</w:t>
            </w:r>
          </w:p>
        </w:tc>
        <w:tc>
          <w:tcPr>
            <w:tcW w:w="2097" w:type="dxa"/>
          </w:tcPr>
          <w:p w14:paraId="3A119360" w14:textId="560BFBC9" w:rsidR="006021A5" w:rsidRPr="001D2186" w:rsidRDefault="006021A5" w:rsidP="006021A5">
            <w:pPr>
              <w:pStyle w:val="Tabletext"/>
            </w:pPr>
          </w:p>
        </w:tc>
        <w:tc>
          <w:tcPr>
            <w:tcW w:w="2275" w:type="dxa"/>
          </w:tcPr>
          <w:p w14:paraId="4F4FA117" w14:textId="49A82A06" w:rsidR="006021A5" w:rsidRPr="001D2186" w:rsidRDefault="006021A5" w:rsidP="006021A5">
            <w:pPr>
              <w:pStyle w:val="Tabletext"/>
            </w:pPr>
            <w:r>
              <w:t xml:space="preserve">Staff time and </w:t>
            </w:r>
            <w:r w:rsidRPr="001D2186">
              <w:t xml:space="preserve">USD </w:t>
            </w:r>
            <w:r>
              <w:t>100</w:t>
            </w:r>
            <w:r w:rsidRPr="001D2186">
              <w:t xml:space="preserve">,000 for </w:t>
            </w:r>
            <w:r>
              <w:t>consultant</w:t>
            </w:r>
          </w:p>
        </w:tc>
      </w:tr>
      <w:tr w:rsidR="006021A5" w:rsidRPr="001D2186" w14:paraId="2CC5E480" w14:textId="77777777" w:rsidTr="003F3FA1">
        <w:trPr>
          <w:cantSplit/>
          <w:trHeight w:val="184"/>
        </w:trPr>
        <w:tc>
          <w:tcPr>
            <w:tcW w:w="2500" w:type="dxa"/>
          </w:tcPr>
          <w:p w14:paraId="2D98C13A" w14:textId="1133629F" w:rsidR="006021A5" w:rsidRDefault="006021A5" w:rsidP="006021A5">
            <w:pPr>
              <w:pStyle w:val="Tabletext"/>
            </w:pPr>
            <w:r>
              <w:t>NMT Strategy monitoring</w:t>
            </w:r>
          </w:p>
        </w:tc>
        <w:tc>
          <w:tcPr>
            <w:tcW w:w="3935" w:type="dxa"/>
          </w:tcPr>
          <w:p w14:paraId="583991A8" w14:textId="7B5B1A44" w:rsidR="006021A5" w:rsidRDefault="006021A5" w:rsidP="006021A5">
            <w:pPr>
              <w:pStyle w:val="Tabletext"/>
            </w:pPr>
            <w:r>
              <w:t>Consolidate</w:t>
            </w:r>
            <w:r w:rsidRPr="001D2186">
              <w:t xml:space="preserve"> </w:t>
            </w:r>
            <w:r>
              <w:t>NMT data</w:t>
            </w:r>
            <w:r w:rsidRPr="001D2186">
              <w:t xml:space="preserve"> </w:t>
            </w:r>
            <w:r>
              <w:t>from local authorities and government agencies to monitor progress in achieving NMT Strategy targets and outcomes</w:t>
            </w:r>
            <w:r w:rsidRPr="001D2186">
              <w:t>.</w:t>
            </w:r>
          </w:p>
        </w:tc>
        <w:tc>
          <w:tcPr>
            <w:tcW w:w="1519" w:type="dxa"/>
          </w:tcPr>
          <w:p w14:paraId="3395ADBA" w14:textId="3290A910" w:rsidR="006021A5" w:rsidRPr="001D2186" w:rsidRDefault="00977EB1" w:rsidP="006021A5">
            <w:pPr>
              <w:pStyle w:val="Tabletext"/>
            </w:pPr>
            <w:r>
              <w:t>[LOCAL AUTHORITY]</w:t>
            </w:r>
          </w:p>
        </w:tc>
        <w:tc>
          <w:tcPr>
            <w:tcW w:w="1761" w:type="dxa"/>
          </w:tcPr>
          <w:p w14:paraId="61207C7D" w14:textId="775FEE3B" w:rsidR="004A75B5" w:rsidRDefault="00977EB1" w:rsidP="004A75B5">
            <w:pPr>
              <w:pStyle w:val="Tabletext"/>
            </w:pPr>
            <w:r>
              <w:t>[</w:t>
            </w:r>
            <w:r w:rsidR="00BD2237">
              <w:t>TRANSPORT MINISTRY</w:t>
            </w:r>
          </w:p>
          <w:p w14:paraId="3654BDDF" w14:textId="19BA6523" w:rsidR="004A75B5" w:rsidRDefault="00BD2237" w:rsidP="004A75B5">
            <w:pPr>
              <w:pStyle w:val="Tabletext"/>
            </w:pPr>
            <w:r>
              <w:t>HOUSING MINISTRY</w:t>
            </w:r>
          </w:p>
          <w:p w14:paraId="6C04F484" w14:textId="46977327" w:rsidR="004A75B5" w:rsidRDefault="00BD2237" w:rsidP="004A75B5">
            <w:pPr>
              <w:pStyle w:val="Tabletext"/>
            </w:pPr>
            <w:r>
              <w:t>LOCAL GOVERNMENT MINISTRY</w:t>
            </w:r>
          </w:p>
          <w:p w14:paraId="15256A5C" w14:textId="40A3F871" w:rsidR="004A75B5" w:rsidRDefault="00BD2237" w:rsidP="004A75B5">
            <w:pPr>
              <w:pStyle w:val="Tabletext"/>
            </w:pPr>
            <w:r>
              <w:t>FINANCE MINISTRY</w:t>
            </w:r>
          </w:p>
          <w:p w14:paraId="576E0F61" w14:textId="388BF0BB" w:rsidR="004A75B5" w:rsidRDefault="00BD2237" w:rsidP="004A75B5">
            <w:pPr>
              <w:pStyle w:val="Tabletext"/>
            </w:pPr>
            <w:r>
              <w:t>ROAD SAFETY AGENCY</w:t>
            </w:r>
          </w:p>
          <w:p w14:paraId="10368E4B" w14:textId="3B744AA2" w:rsidR="006021A5" w:rsidRPr="001D2186" w:rsidRDefault="00BD2237" w:rsidP="004A75B5">
            <w:pPr>
              <w:pStyle w:val="Tabletext"/>
            </w:pPr>
            <w:r>
              <w:t>LOCAL AUTHORITIES ROAD AGENCY</w:t>
            </w:r>
            <w:r w:rsidR="00977EB1">
              <w:t>]</w:t>
            </w:r>
          </w:p>
        </w:tc>
        <w:tc>
          <w:tcPr>
            <w:tcW w:w="2097" w:type="dxa"/>
          </w:tcPr>
          <w:p w14:paraId="17FD7EEF" w14:textId="24C72384" w:rsidR="006021A5" w:rsidRPr="001D2186" w:rsidRDefault="006021A5" w:rsidP="006021A5">
            <w:pPr>
              <w:pStyle w:val="Tabletext"/>
            </w:pPr>
          </w:p>
        </w:tc>
        <w:tc>
          <w:tcPr>
            <w:tcW w:w="2275" w:type="dxa"/>
          </w:tcPr>
          <w:p w14:paraId="72FB4653" w14:textId="60D47AE5" w:rsidR="006021A5" w:rsidRDefault="006021A5" w:rsidP="006021A5">
            <w:pPr>
              <w:pStyle w:val="Tabletext"/>
            </w:pPr>
            <w:r>
              <w:t>Staff time</w:t>
            </w:r>
          </w:p>
        </w:tc>
      </w:tr>
      <w:tr w:rsidR="006021A5" w:rsidRPr="001D2186" w14:paraId="216F250E" w14:textId="77777777" w:rsidTr="003F3FA1">
        <w:trPr>
          <w:cantSplit/>
          <w:trHeight w:val="184"/>
        </w:trPr>
        <w:tc>
          <w:tcPr>
            <w:tcW w:w="14087" w:type="dxa"/>
            <w:gridSpan w:val="6"/>
          </w:tcPr>
          <w:p w14:paraId="3BF42D00" w14:textId="730908E1" w:rsidR="006021A5" w:rsidRPr="00884110" w:rsidRDefault="006021A5" w:rsidP="006021A5">
            <w:pPr>
              <w:pStyle w:val="Tabletext"/>
              <w:rPr>
                <w:b/>
                <w:bCs/>
              </w:rPr>
            </w:pPr>
            <w:r>
              <w:rPr>
                <w:b/>
                <w:bCs/>
              </w:rPr>
              <w:t>Adopt policy and legislative reforms</w:t>
            </w:r>
          </w:p>
        </w:tc>
      </w:tr>
      <w:tr w:rsidR="006021A5" w:rsidRPr="001D2186" w14:paraId="15C99FDE" w14:textId="77777777" w:rsidTr="003F3FA1">
        <w:trPr>
          <w:cantSplit/>
          <w:trHeight w:val="184"/>
        </w:trPr>
        <w:tc>
          <w:tcPr>
            <w:tcW w:w="2500" w:type="dxa"/>
          </w:tcPr>
          <w:p w14:paraId="4D4876AA" w14:textId="6FA4FC52" w:rsidR="006021A5" w:rsidRPr="001D2186" w:rsidRDefault="006021A5" w:rsidP="006021A5">
            <w:pPr>
              <w:pStyle w:val="Tabletext"/>
            </w:pPr>
            <w:r>
              <w:t>Bicycle parking in buildings</w:t>
            </w:r>
          </w:p>
        </w:tc>
        <w:tc>
          <w:tcPr>
            <w:tcW w:w="3935" w:type="dxa"/>
          </w:tcPr>
          <w:p w14:paraId="6FFD3DA8" w14:textId="229F0A74" w:rsidR="006021A5" w:rsidRPr="001D2186" w:rsidRDefault="006021A5" w:rsidP="006021A5">
            <w:pPr>
              <w:pStyle w:val="Tabletext"/>
            </w:pPr>
            <w:r>
              <w:t>Revise building regulations to mandate the provision of bicycle parking.</w:t>
            </w:r>
          </w:p>
        </w:tc>
        <w:tc>
          <w:tcPr>
            <w:tcW w:w="1519" w:type="dxa"/>
          </w:tcPr>
          <w:p w14:paraId="6133576E" w14:textId="52408A0C" w:rsidR="006021A5" w:rsidRPr="001D2186" w:rsidRDefault="00B56BAF" w:rsidP="006021A5">
            <w:pPr>
              <w:pStyle w:val="Tabletext"/>
            </w:pPr>
            <w:r>
              <w:t>[LOCAL AUTHORITIES]</w:t>
            </w:r>
          </w:p>
        </w:tc>
        <w:tc>
          <w:tcPr>
            <w:tcW w:w="1761" w:type="dxa"/>
          </w:tcPr>
          <w:p w14:paraId="09AE0B7A" w14:textId="5A77143B" w:rsidR="006021A5" w:rsidRPr="001D2186" w:rsidRDefault="00B56BAF" w:rsidP="006021A5">
            <w:pPr>
              <w:pStyle w:val="Tabletext"/>
            </w:pPr>
            <w:r>
              <w:t>[LOCAL AUTHORITY]</w:t>
            </w:r>
          </w:p>
        </w:tc>
        <w:tc>
          <w:tcPr>
            <w:tcW w:w="2097" w:type="dxa"/>
          </w:tcPr>
          <w:p w14:paraId="74FB0C1A" w14:textId="06AA3C19" w:rsidR="006021A5" w:rsidRDefault="006021A5" w:rsidP="006021A5">
            <w:pPr>
              <w:pStyle w:val="Tabletext"/>
            </w:pPr>
          </w:p>
        </w:tc>
        <w:tc>
          <w:tcPr>
            <w:tcW w:w="2275" w:type="dxa"/>
          </w:tcPr>
          <w:p w14:paraId="5E0C37E8" w14:textId="55D1548C" w:rsidR="006021A5" w:rsidRPr="001D2186" w:rsidRDefault="006021A5" w:rsidP="006021A5">
            <w:pPr>
              <w:pStyle w:val="Tabletext"/>
            </w:pPr>
            <w:r>
              <w:t>Staff time</w:t>
            </w:r>
          </w:p>
        </w:tc>
      </w:tr>
      <w:tr w:rsidR="006021A5" w:rsidRPr="001D2186" w14:paraId="2AA23778" w14:textId="77777777" w:rsidTr="003F3FA1">
        <w:trPr>
          <w:cantSplit/>
          <w:trHeight w:val="184"/>
        </w:trPr>
        <w:tc>
          <w:tcPr>
            <w:tcW w:w="2500" w:type="dxa"/>
          </w:tcPr>
          <w:p w14:paraId="4B780B32" w14:textId="6C2C7B77" w:rsidR="006021A5" w:rsidRPr="001D2186" w:rsidRDefault="006021A5" w:rsidP="006021A5">
            <w:pPr>
              <w:pStyle w:val="Tabletext"/>
            </w:pPr>
            <w:r>
              <w:t>School zone legislation</w:t>
            </w:r>
          </w:p>
        </w:tc>
        <w:tc>
          <w:tcPr>
            <w:tcW w:w="3935" w:type="dxa"/>
          </w:tcPr>
          <w:p w14:paraId="57524CF6" w14:textId="01897108" w:rsidR="006021A5" w:rsidRPr="001D2186" w:rsidRDefault="006021A5" w:rsidP="006021A5">
            <w:pPr>
              <w:pStyle w:val="Tabletext"/>
            </w:pPr>
            <w:r>
              <w:t>Update legislation to provide backing for traffic regulations in school zones</w:t>
            </w:r>
          </w:p>
        </w:tc>
        <w:tc>
          <w:tcPr>
            <w:tcW w:w="1519" w:type="dxa"/>
          </w:tcPr>
          <w:p w14:paraId="0B5F645E" w14:textId="30D8A31C" w:rsidR="006021A5" w:rsidRPr="001D2186" w:rsidRDefault="00B56BAF" w:rsidP="006021A5">
            <w:pPr>
              <w:pStyle w:val="Tabletext"/>
            </w:pPr>
            <w:r>
              <w:t>[TRANSPORT MINISTRY]</w:t>
            </w:r>
          </w:p>
        </w:tc>
        <w:tc>
          <w:tcPr>
            <w:tcW w:w="1761" w:type="dxa"/>
          </w:tcPr>
          <w:p w14:paraId="7A275958" w14:textId="4738D0CF" w:rsidR="006021A5" w:rsidRDefault="00977EB1" w:rsidP="006021A5">
            <w:pPr>
              <w:pStyle w:val="Tabletext"/>
            </w:pPr>
            <w:r>
              <w:t>[</w:t>
            </w:r>
            <w:r w:rsidR="00BD2237">
              <w:t>LOCAL AUTHORITY</w:t>
            </w:r>
          </w:p>
          <w:p w14:paraId="659A2C4F" w14:textId="72B28F85" w:rsidR="006021A5" w:rsidRPr="001D2186" w:rsidRDefault="00BD2237" w:rsidP="006021A5">
            <w:pPr>
              <w:pStyle w:val="Tabletext"/>
            </w:pPr>
            <w:r>
              <w:t>TRAFFIC POLICE</w:t>
            </w:r>
            <w:r w:rsidR="00977EB1">
              <w:t>]</w:t>
            </w:r>
          </w:p>
        </w:tc>
        <w:tc>
          <w:tcPr>
            <w:tcW w:w="2097" w:type="dxa"/>
          </w:tcPr>
          <w:p w14:paraId="66A2BB72" w14:textId="4BD046F3" w:rsidR="006021A5" w:rsidRDefault="006021A5" w:rsidP="006021A5">
            <w:pPr>
              <w:pStyle w:val="Tabletext"/>
            </w:pPr>
          </w:p>
        </w:tc>
        <w:tc>
          <w:tcPr>
            <w:tcW w:w="2275" w:type="dxa"/>
          </w:tcPr>
          <w:p w14:paraId="0BFE0213" w14:textId="59263105" w:rsidR="006021A5" w:rsidRPr="001D2186" w:rsidRDefault="006021A5" w:rsidP="006021A5">
            <w:pPr>
              <w:pStyle w:val="Tabletext"/>
            </w:pPr>
            <w:r>
              <w:t>Staff time</w:t>
            </w:r>
          </w:p>
        </w:tc>
      </w:tr>
      <w:tr w:rsidR="006021A5" w:rsidRPr="001D2186" w14:paraId="475774DB" w14:textId="77777777" w:rsidTr="003F3FA1">
        <w:trPr>
          <w:cantSplit/>
          <w:trHeight w:val="184"/>
        </w:trPr>
        <w:tc>
          <w:tcPr>
            <w:tcW w:w="2500" w:type="dxa"/>
          </w:tcPr>
          <w:p w14:paraId="4114633D" w14:textId="7245E570" w:rsidR="006021A5" w:rsidRPr="001D2186" w:rsidRDefault="006021A5" w:rsidP="006021A5">
            <w:pPr>
              <w:pStyle w:val="Tabletext"/>
            </w:pPr>
            <w:r>
              <w:t>Bicycle tariff removal</w:t>
            </w:r>
          </w:p>
        </w:tc>
        <w:tc>
          <w:tcPr>
            <w:tcW w:w="3935" w:type="dxa"/>
          </w:tcPr>
          <w:p w14:paraId="462FEC4F" w14:textId="38EA779B" w:rsidR="006021A5" w:rsidRPr="001D2186" w:rsidRDefault="006021A5" w:rsidP="006021A5">
            <w:pPr>
              <w:pStyle w:val="Tabletext"/>
            </w:pPr>
            <w:r>
              <w:t>Remove tariffs on bicycles and bicycle parts</w:t>
            </w:r>
          </w:p>
        </w:tc>
        <w:tc>
          <w:tcPr>
            <w:tcW w:w="1519" w:type="dxa"/>
          </w:tcPr>
          <w:p w14:paraId="378961AD" w14:textId="10FCC1AF" w:rsidR="006021A5" w:rsidRDefault="00B56BAF" w:rsidP="006021A5">
            <w:pPr>
              <w:pStyle w:val="Tabletext"/>
            </w:pPr>
            <w:r>
              <w:t>[TRANSPORT MINISTRY]</w:t>
            </w:r>
          </w:p>
        </w:tc>
        <w:tc>
          <w:tcPr>
            <w:tcW w:w="1761" w:type="dxa"/>
          </w:tcPr>
          <w:p w14:paraId="2C74EE8F" w14:textId="7F46EB8A" w:rsidR="006021A5" w:rsidRPr="001D2186" w:rsidRDefault="00EA3F17" w:rsidP="006021A5">
            <w:pPr>
              <w:pStyle w:val="Tabletext"/>
            </w:pPr>
            <w:r>
              <w:t>[</w:t>
            </w:r>
            <w:r w:rsidR="00BD2237">
              <w:t>ROAD AGENCY</w:t>
            </w:r>
            <w:r>
              <w:t>]</w:t>
            </w:r>
          </w:p>
        </w:tc>
        <w:tc>
          <w:tcPr>
            <w:tcW w:w="2097" w:type="dxa"/>
          </w:tcPr>
          <w:p w14:paraId="1CF0AD15" w14:textId="103EB724" w:rsidR="006021A5" w:rsidRDefault="006021A5" w:rsidP="006021A5">
            <w:pPr>
              <w:pStyle w:val="Tabletext"/>
            </w:pPr>
          </w:p>
        </w:tc>
        <w:tc>
          <w:tcPr>
            <w:tcW w:w="2275" w:type="dxa"/>
          </w:tcPr>
          <w:p w14:paraId="582CBCE5" w14:textId="70B14C69" w:rsidR="006021A5" w:rsidRPr="001D2186" w:rsidRDefault="006021A5" w:rsidP="006021A5">
            <w:pPr>
              <w:pStyle w:val="Tabletext"/>
            </w:pPr>
            <w:r>
              <w:t>Staff time</w:t>
            </w:r>
          </w:p>
        </w:tc>
      </w:tr>
      <w:tr w:rsidR="006021A5" w:rsidRPr="001D2186" w14:paraId="536F9FE8" w14:textId="77777777" w:rsidTr="003F3FA1">
        <w:trPr>
          <w:cantSplit/>
          <w:trHeight w:val="184"/>
        </w:trPr>
        <w:tc>
          <w:tcPr>
            <w:tcW w:w="2500" w:type="dxa"/>
          </w:tcPr>
          <w:p w14:paraId="2295DA0E" w14:textId="4B89B711" w:rsidR="006021A5" w:rsidRDefault="006021A5" w:rsidP="006021A5">
            <w:pPr>
              <w:pStyle w:val="Tabletext"/>
            </w:pPr>
            <w:r w:rsidRPr="001D2186">
              <w:t xml:space="preserve">NMT friendly building control </w:t>
            </w:r>
            <w:r>
              <w:t xml:space="preserve">and land use </w:t>
            </w:r>
            <w:r w:rsidRPr="001D2186">
              <w:t>regulations</w:t>
            </w:r>
          </w:p>
        </w:tc>
        <w:tc>
          <w:tcPr>
            <w:tcW w:w="3935" w:type="dxa"/>
          </w:tcPr>
          <w:p w14:paraId="69DB0A19" w14:textId="1A02EAF6" w:rsidR="006021A5" w:rsidRDefault="006021A5" w:rsidP="006021A5">
            <w:pPr>
              <w:pStyle w:val="Tabletext"/>
            </w:pPr>
            <w:r w:rsidRPr="001D2186">
              <w:t>Reform building control regulations to mandate active, permeable frontages and restrict large setbacks.</w:t>
            </w:r>
            <w:r>
              <w:t xml:space="preserve"> Revise land use policies to encourage compact, mixed-use development along public transport corridors.</w:t>
            </w:r>
          </w:p>
        </w:tc>
        <w:tc>
          <w:tcPr>
            <w:tcW w:w="1519" w:type="dxa"/>
          </w:tcPr>
          <w:p w14:paraId="131F5812" w14:textId="6FFD099D" w:rsidR="006021A5" w:rsidRPr="001D2186" w:rsidRDefault="00977EB1" w:rsidP="006021A5">
            <w:pPr>
              <w:pStyle w:val="Tabletext"/>
            </w:pPr>
            <w:r>
              <w:t>[LOCAL GOVERNMENT MINISTRY]</w:t>
            </w:r>
          </w:p>
        </w:tc>
        <w:tc>
          <w:tcPr>
            <w:tcW w:w="1761" w:type="dxa"/>
          </w:tcPr>
          <w:p w14:paraId="00975A46" w14:textId="540A1C1F" w:rsidR="006021A5" w:rsidRDefault="00977EB1" w:rsidP="006021A5">
            <w:pPr>
              <w:pStyle w:val="Tabletext"/>
            </w:pPr>
            <w:r>
              <w:t>[</w:t>
            </w:r>
            <w:r w:rsidR="00BD2237" w:rsidRPr="001D2186">
              <w:t>LOCAL AUTHORITIES</w:t>
            </w:r>
          </w:p>
          <w:p w14:paraId="34826F19" w14:textId="5966B3BC" w:rsidR="006021A5" w:rsidRPr="001D2186" w:rsidRDefault="00BD2237" w:rsidP="006021A5">
            <w:pPr>
              <w:pStyle w:val="Tabletext"/>
            </w:pPr>
            <w:r>
              <w:t>TRANSPORT MINISTRY</w:t>
            </w:r>
            <w:r w:rsidR="00977EB1">
              <w:t>]</w:t>
            </w:r>
          </w:p>
        </w:tc>
        <w:tc>
          <w:tcPr>
            <w:tcW w:w="2097" w:type="dxa"/>
          </w:tcPr>
          <w:p w14:paraId="0AECF3A4" w14:textId="7C0628E9" w:rsidR="006021A5" w:rsidRPr="001D2186" w:rsidRDefault="006021A5" w:rsidP="006021A5">
            <w:pPr>
              <w:pStyle w:val="Tabletext"/>
            </w:pPr>
          </w:p>
        </w:tc>
        <w:tc>
          <w:tcPr>
            <w:tcW w:w="2275" w:type="dxa"/>
          </w:tcPr>
          <w:p w14:paraId="3F4BA116" w14:textId="3842B707" w:rsidR="006021A5" w:rsidRDefault="006021A5" w:rsidP="006021A5">
            <w:pPr>
              <w:pStyle w:val="Tabletext"/>
            </w:pPr>
            <w:r w:rsidRPr="001D2186">
              <w:t>Local authority staff time to prepare the design standards. USD 30,000 for international urban design expert to review the draft standards.</w:t>
            </w:r>
          </w:p>
        </w:tc>
      </w:tr>
      <w:tr w:rsidR="006021A5" w:rsidRPr="001D2186" w14:paraId="2B086F14" w14:textId="77777777" w:rsidTr="003F3FA1">
        <w:trPr>
          <w:cantSplit/>
          <w:trHeight w:val="184"/>
        </w:trPr>
        <w:tc>
          <w:tcPr>
            <w:tcW w:w="14087" w:type="dxa"/>
            <w:gridSpan w:val="6"/>
          </w:tcPr>
          <w:p w14:paraId="0C22B863" w14:textId="33EF24F3" w:rsidR="006021A5" w:rsidRPr="00EB3F50" w:rsidRDefault="006021A5" w:rsidP="006021A5">
            <w:pPr>
              <w:pStyle w:val="Tabletext"/>
              <w:rPr>
                <w:b/>
                <w:bCs/>
              </w:rPr>
            </w:pPr>
            <w:r w:rsidRPr="00EB3F50">
              <w:rPr>
                <w:b/>
                <w:bCs/>
              </w:rPr>
              <w:t xml:space="preserve">Build capacity </w:t>
            </w:r>
            <w:r>
              <w:rPr>
                <w:b/>
                <w:bCs/>
              </w:rPr>
              <w:t>to</w:t>
            </w:r>
            <w:r w:rsidRPr="00EB3F50">
              <w:rPr>
                <w:b/>
                <w:bCs/>
              </w:rPr>
              <w:t xml:space="preserve"> design</w:t>
            </w:r>
            <w:r>
              <w:rPr>
                <w:b/>
                <w:bCs/>
              </w:rPr>
              <w:t xml:space="preserve">, </w:t>
            </w:r>
            <w:r w:rsidRPr="00EB3F50">
              <w:rPr>
                <w:b/>
                <w:bCs/>
              </w:rPr>
              <w:t>implement</w:t>
            </w:r>
            <w:r>
              <w:rPr>
                <w:b/>
                <w:bCs/>
              </w:rPr>
              <w:t>, and manage</w:t>
            </w:r>
            <w:r w:rsidRPr="00EB3F50">
              <w:rPr>
                <w:b/>
                <w:bCs/>
              </w:rPr>
              <w:t xml:space="preserve"> NMT facilities</w:t>
            </w:r>
          </w:p>
        </w:tc>
      </w:tr>
      <w:tr w:rsidR="006021A5" w:rsidRPr="001D2186" w14:paraId="2CF7D20D" w14:textId="77777777" w:rsidTr="003F3FA1">
        <w:trPr>
          <w:cantSplit/>
          <w:trHeight w:val="184"/>
        </w:trPr>
        <w:tc>
          <w:tcPr>
            <w:tcW w:w="2500" w:type="dxa"/>
          </w:tcPr>
          <w:p w14:paraId="7D9A262F" w14:textId="7B217BAA" w:rsidR="006021A5" w:rsidRPr="001D2186" w:rsidRDefault="00C0649D" w:rsidP="006021A5">
            <w:pPr>
              <w:pStyle w:val="Tabletext"/>
            </w:pPr>
            <w:r>
              <w:lastRenderedPageBreak/>
              <w:t>[COUNTRY]</w:t>
            </w:r>
            <w:r w:rsidR="006021A5" w:rsidRPr="001D2186">
              <w:t xml:space="preserve"> NMT Steering Committee </w:t>
            </w:r>
          </w:p>
        </w:tc>
        <w:tc>
          <w:tcPr>
            <w:tcW w:w="3935" w:type="dxa"/>
          </w:tcPr>
          <w:p w14:paraId="1DB7C3B3" w14:textId="608CF62E" w:rsidR="006021A5" w:rsidRPr="001D2186" w:rsidRDefault="006021A5" w:rsidP="006021A5">
            <w:pPr>
              <w:pStyle w:val="Tabletext"/>
            </w:pPr>
            <w:r w:rsidRPr="001D2186">
              <w:t xml:space="preserve">Establish an NMT steering Committee composed of representatives from </w:t>
            </w:r>
            <w:r w:rsidR="00215CC8">
              <w:t xml:space="preserve">TRANSPORT MINISTRY </w:t>
            </w:r>
            <w:r>
              <w:t xml:space="preserve">and </w:t>
            </w:r>
            <w:r w:rsidRPr="001D2186">
              <w:t xml:space="preserve">Traffic Police plus 3 independent representatives (civil society, built environment and residents). Conduct monthly meetings to coordinate projects related to </w:t>
            </w:r>
            <w:r>
              <w:t>NMT</w:t>
            </w:r>
            <w:r w:rsidRPr="001D2186">
              <w:t>. Chaired by Director Transport.</w:t>
            </w:r>
          </w:p>
        </w:tc>
        <w:tc>
          <w:tcPr>
            <w:tcW w:w="1519" w:type="dxa"/>
          </w:tcPr>
          <w:p w14:paraId="2DDB6FC9" w14:textId="2A8B125E" w:rsidR="006021A5" w:rsidRPr="001D2186" w:rsidRDefault="00977EB1" w:rsidP="006021A5">
            <w:pPr>
              <w:pStyle w:val="Tabletext"/>
            </w:pPr>
            <w:r>
              <w:t>[</w:t>
            </w:r>
            <w:r w:rsidRPr="001D2186">
              <w:t xml:space="preserve">DIRECTOR TRANSPORT, </w:t>
            </w:r>
            <w:r>
              <w:t>MINISTRY OF TRANSPORT]</w:t>
            </w:r>
          </w:p>
        </w:tc>
        <w:tc>
          <w:tcPr>
            <w:tcW w:w="1761" w:type="dxa"/>
          </w:tcPr>
          <w:p w14:paraId="0B8B9D82" w14:textId="6BBF4587" w:rsidR="004A75B5" w:rsidRDefault="00977EB1" w:rsidP="004A75B5">
            <w:pPr>
              <w:pStyle w:val="Tabletext"/>
            </w:pPr>
            <w:r>
              <w:t>[TRANSPORT MINISTRY</w:t>
            </w:r>
          </w:p>
          <w:p w14:paraId="0626378E" w14:textId="17B4638F" w:rsidR="004A75B5" w:rsidRDefault="00977EB1" w:rsidP="004A75B5">
            <w:pPr>
              <w:pStyle w:val="Tabletext"/>
            </w:pPr>
            <w:r>
              <w:t>HOUSING MINISTRY</w:t>
            </w:r>
          </w:p>
          <w:p w14:paraId="032E0653" w14:textId="2D4D28D7" w:rsidR="004A75B5" w:rsidRDefault="00977EB1" w:rsidP="004A75B5">
            <w:pPr>
              <w:pStyle w:val="Tabletext"/>
            </w:pPr>
            <w:r>
              <w:t>LOCAL GOVERNMENT MINISTRY</w:t>
            </w:r>
          </w:p>
          <w:p w14:paraId="17B5596C" w14:textId="0AD6AEBA" w:rsidR="004A75B5" w:rsidRDefault="00977EB1" w:rsidP="004A75B5">
            <w:pPr>
              <w:pStyle w:val="Tabletext"/>
            </w:pPr>
            <w:r>
              <w:t>FINANCE MINISTRY</w:t>
            </w:r>
          </w:p>
          <w:p w14:paraId="233451B7" w14:textId="541546D6" w:rsidR="004A75B5" w:rsidRDefault="00977EB1" w:rsidP="004A75B5">
            <w:pPr>
              <w:pStyle w:val="Tabletext"/>
            </w:pPr>
            <w:r>
              <w:t>ROAD SAFETY AGENCY</w:t>
            </w:r>
          </w:p>
          <w:p w14:paraId="799155C8" w14:textId="1BFFD50A" w:rsidR="006021A5" w:rsidRDefault="00977EB1" w:rsidP="004A75B5">
            <w:pPr>
              <w:pStyle w:val="Tabletext"/>
            </w:pPr>
            <w:r>
              <w:t>LOCAL AUTHORITIES ROAD AGENCY</w:t>
            </w:r>
          </w:p>
          <w:p w14:paraId="065E2C4B" w14:textId="557CDEB8" w:rsidR="006021A5" w:rsidRDefault="00977EB1" w:rsidP="006021A5">
            <w:pPr>
              <w:pStyle w:val="Tabletext"/>
            </w:pPr>
            <w:r w:rsidRPr="001D2186">
              <w:t>TRAFFIC POLICE</w:t>
            </w:r>
          </w:p>
          <w:p w14:paraId="565C4FFB" w14:textId="53C7054E" w:rsidR="006021A5" w:rsidRPr="001D2186" w:rsidRDefault="00977EB1" w:rsidP="006021A5">
            <w:pPr>
              <w:pStyle w:val="Tabletext"/>
            </w:pPr>
            <w:r w:rsidRPr="001D2186">
              <w:t>INDEPENDENT REPRESENTATIVES</w:t>
            </w:r>
            <w:r>
              <w:t>]</w:t>
            </w:r>
          </w:p>
        </w:tc>
        <w:tc>
          <w:tcPr>
            <w:tcW w:w="2097" w:type="dxa"/>
          </w:tcPr>
          <w:p w14:paraId="2E75217B" w14:textId="135C6583" w:rsidR="006021A5" w:rsidRPr="001D2186" w:rsidRDefault="006021A5" w:rsidP="006021A5">
            <w:pPr>
              <w:pStyle w:val="Tabletext"/>
            </w:pPr>
          </w:p>
        </w:tc>
        <w:tc>
          <w:tcPr>
            <w:tcW w:w="2275" w:type="dxa"/>
          </w:tcPr>
          <w:p w14:paraId="5E924898" w14:textId="77777777" w:rsidR="006021A5" w:rsidRPr="001D2186" w:rsidRDefault="006021A5" w:rsidP="006021A5">
            <w:pPr>
              <w:pStyle w:val="Tabletext"/>
            </w:pPr>
            <w:r w:rsidRPr="001D2186">
              <w:t>Staff time from participating agencies</w:t>
            </w:r>
          </w:p>
        </w:tc>
      </w:tr>
      <w:tr w:rsidR="006021A5" w:rsidRPr="001D2186" w14:paraId="5769420C" w14:textId="77777777" w:rsidTr="003F3FA1">
        <w:trPr>
          <w:cantSplit/>
          <w:trHeight w:val="184"/>
        </w:trPr>
        <w:tc>
          <w:tcPr>
            <w:tcW w:w="2500" w:type="dxa"/>
          </w:tcPr>
          <w:p w14:paraId="3A42069A" w14:textId="77777777" w:rsidR="006021A5" w:rsidRPr="001D2186" w:rsidRDefault="006021A5" w:rsidP="006021A5">
            <w:pPr>
              <w:pStyle w:val="Tabletext"/>
            </w:pPr>
            <w:r w:rsidRPr="001D2186">
              <w:t>Street design certification course</w:t>
            </w:r>
          </w:p>
        </w:tc>
        <w:tc>
          <w:tcPr>
            <w:tcW w:w="3935" w:type="dxa"/>
          </w:tcPr>
          <w:p w14:paraId="433A793A" w14:textId="595565F2" w:rsidR="006021A5" w:rsidRPr="001D2186" w:rsidRDefault="006021A5" w:rsidP="006021A5">
            <w:pPr>
              <w:pStyle w:val="Tabletext"/>
            </w:pPr>
            <w:r w:rsidRPr="001D2186">
              <w:t xml:space="preserve">Establish a </w:t>
            </w:r>
            <w:proofErr w:type="gramStart"/>
            <w:r w:rsidRPr="001D2186">
              <w:t>one week</w:t>
            </w:r>
            <w:proofErr w:type="gramEnd"/>
            <w:r w:rsidRPr="001D2186">
              <w:t xml:space="preserve"> mid-career certification course on street design for technical staff from </w:t>
            </w:r>
            <w:r w:rsidR="00215CC8">
              <w:t xml:space="preserve">TRANSPORT MINISTRY and </w:t>
            </w:r>
            <w:r w:rsidRPr="001D2186">
              <w:t>Local Authorities. The course will consist of four all-day class sessions plus a final presentation to directors of the participating agencies.</w:t>
            </w:r>
            <w:r>
              <w:t xml:space="preserve"> </w:t>
            </w:r>
            <w:r w:rsidRPr="001D2186">
              <w:t>Similar Course to be offered in Universities and Colleges offering Civil Engineering and Urban Planning.</w:t>
            </w:r>
          </w:p>
        </w:tc>
        <w:tc>
          <w:tcPr>
            <w:tcW w:w="1519" w:type="dxa"/>
          </w:tcPr>
          <w:p w14:paraId="35497139" w14:textId="3CE24547" w:rsidR="006021A5" w:rsidRPr="001D2186" w:rsidRDefault="00B56BAF" w:rsidP="006021A5">
            <w:pPr>
              <w:pStyle w:val="Tabletext"/>
            </w:pPr>
            <w:r>
              <w:t>[</w:t>
            </w:r>
            <w:r w:rsidR="006021A5" w:rsidRPr="001D2186">
              <w:t>M</w:t>
            </w:r>
            <w:r>
              <w:t>INISTRY]</w:t>
            </w:r>
          </w:p>
        </w:tc>
        <w:tc>
          <w:tcPr>
            <w:tcW w:w="1761" w:type="dxa"/>
          </w:tcPr>
          <w:p w14:paraId="614B200B" w14:textId="213DC4E0" w:rsidR="00B56BAF" w:rsidRDefault="00B56BAF" w:rsidP="006021A5">
            <w:pPr>
              <w:pStyle w:val="Tabletext"/>
            </w:pPr>
            <w:r>
              <w:t>[</w:t>
            </w:r>
            <w:r w:rsidR="00977EB1" w:rsidRPr="001D2186">
              <w:t>UNIVERSITIES</w:t>
            </w:r>
          </w:p>
          <w:p w14:paraId="5D8978AA" w14:textId="15236DE9" w:rsidR="006021A5" w:rsidRPr="001D2186" w:rsidRDefault="00977EB1" w:rsidP="006021A5">
            <w:pPr>
              <w:pStyle w:val="Tabletext"/>
            </w:pPr>
            <w:r w:rsidRPr="001D2186">
              <w:t>COLLEGES</w:t>
            </w:r>
            <w:r w:rsidR="00B56BAF">
              <w:t>]</w:t>
            </w:r>
          </w:p>
          <w:p w14:paraId="7DE6ED3E" w14:textId="77777777" w:rsidR="006021A5" w:rsidRPr="001D2186" w:rsidRDefault="006021A5" w:rsidP="006021A5">
            <w:pPr>
              <w:pStyle w:val="Tabletext"/>
            </w:pPr>
          </w:p>
        </w:tc>
        <w:tc>
          <w:tcPr>
            <w:tcW w:w="2097" w:type="dxa"/>
          </w:tcPr>
          <w:p w14:paraId="1F285B69" w14:textId="5AAF1799" w:rsidR="006021A5" w:rsidRPr="001D2186" w:rsidRDefault="006021A5" w:rsidP="006021A5">
            <w:pPr>
              <w:pStyle w:val="Tabletext"/>
            </w:pPr>
          </w:p>
        </w:tc>
        <w:tc>
          <w:tcPr>
            <w:tcW w:w="2275" w:type="dxa"/>
          </w:tcPr>
          <w:p w14:paraId="6A479698" w14:textId="77777777" w:rsidR="006021A5" w:rsidRPr="001D2186" w:rsidRDefault="006021A5" w:rsidP="006021A5">
            <w:pPr>
              <w:pStyle w:val="Tabletext"/>
            </w:pPr>
            <w:r w:rsidRPr="001D2186">
              <w:t>Facilities and local transport cost of USD 500 per participant. One-time cost of USD 30,000 for international street design expert to design the curriculum and train the trainers.</w:t>
            </w:r>
          </w:p>
        </w:tc>
      </w:tr>
      <w:tr w:rsidR="006D1066" w:rsidRPr="001D2186" w14:paraId="25009D6A" w14:textId="77777777" w:rsidTr="003F3FA1">
        <w:trPr>
          <w:cantSplit/>
          <w:trHeight w:val="184"/>
        </w:trPr>
        <w:tc>
          <w:tcPr>
            <w:tcW w:w="2500" w:type="dxa"/>
          </w:tcPr>
          <w:p w14:paraId="3AE182BA" w14:textId="4C5C18A6" w:rsidR="006D1066" w:rsidRPr="001D2186" w:rsidRDefault="006D1066" w:rsidP="006D1066">
            <w:pPr>
              <w:pStyle w:val="Tabletext"/>
            </w:pPr>
            <w:r w:rsidRPr="001D2186">
              <w:t>Study tour for technical staff</w:t>
            </w:r>
          </w:p>
        </w:tc>
        <w:tc>
          <w:tcPr>
            <w:tcW w:w="3935" w:type="dxa"/>
          </w:tcPr>
          <w:p w14:paraId="042A6B2E" w14:textId="41F99CAE" w:rsidR="006D1066" w:rsidRPr="001D2186" w:rsidRDefault="006D1066" w:rsidP="006D1066">
            <w:pPr>
              <w:pStyle w:val="Tabletext"/>
            </w:pPr>
            <w:r w:rsidRPr="001D2186">
              <w:t xml:space="preserve">Organize study </w:t>
            </w:r>
            <w:r>
              <w:t>to learn about best practices in NMT and public transport planning.</w:t>
            </w:r>
          </w:p>
          <w:p w14:paraId="7860F80D" w14:textId="77777777" w:rsidR="006D1066" w:rsidRDefault="006D1066" w:rsidP="006D1066">
            <w:pPr>
              <w:pStyle w:val="Tabletext"/>
            </w:pPr>
          </w:p>
        </w:tc>
        <w:tc>
          <w:tcPr>
            <w:tcW w:w="1519" w:type="dxa"/>
          </w:tcPr>
          <w:p w14:paraId="3B190CCC" w14:textId="58FD98E1" w:rsidR="006D1066" w:rsidRDefault="00B56BAF" w:rsidP="006D1066">
            <w:pPr>
              <w:pStyle w:val="Tabletext"/>
            </w:pPr>
            <w:r>
              <w:t>[ROAD AGENCY]</w:t>
            </w:r>
          </w:p>
        </w:tc>
        <w:tc>
          <w:tcPr>
            <w:tcW w:w="1761" w:type="dxa"/>
          </w:tcPr>
          <w:p w14:paraId="44740518" w14:textId="4FF4D967" w:rsidR="006D1066" w:rsidRDefault="00977EB1" w:rsidP="006D1066">
            <w:pPr>
              <w:pStyle w:val="Tabletext"/>
            </w:pPr>
            <w:r>
              <w:t>[TRANSPORT MINISTRY</w:t>
            </w:r>
          </w:p>
          <w:p w14:paraId="31F43B77" w14:textId="188FC832" w:rsidR="006D1066" w:rsidRDefault="00977EB1" w:rsidP="006D1066">
            <w:pPr>
              <w:pStyle w:val="Tabletext"/>
            </w:pPr>
            <w:r>
              <w:t>HOUSING MINISTRY</w:t>
            </w:r>
          </w:p>
          <w:p w14:paraId="019A2498" w14:textId="59FA6662" w:rsidR="006D1066" w:rsidRDefault="00977EB1" w:rsidP="006D1066">
            <w:pPr>
              <w:pStyle w:val="Tabletext"/>
            </w:pPr>
            <w:r>
              <w:t>LOCAL GOVERNMENT MINISTRY</w:t>
            </w:r>
          </w:p>
          <w:p w14:paraId="117A7EF6" w14:textId="2967C430" w:rsidR="006D1066" w:rsidRDefault="00977EB1" w:rsidP="006D1066">
            <w:pPr>
              <w:pStyle w:val="Tabletext"/>
            </w:pPr>
            <w:r>
              <w:t>FINANCE MINISTRY</w:t>
            </w:r>
          </w:p>
          <w:p w14:paraId="23656F7F" w14:textId="41F27DB6" w:rsidR="006D1066" w:rsidRDefault="00977EB1" w:rsidP="006D1066">
            <w:pPr>
              <w:pStyle w:val="Tabletext"/>
            </w:pPr>
            <w:r>
              <w:t>ROAD SAFETY AGENCY</w:t>
            </w:r>
          </w:p>
          <w:p w14:paraId="4B0CD489" w14:textId="5FD2A6D1" w:rsidR="006D1066" w:rsidRDefault="00977EB1" w:rsidP="006D1066">
            <w:pPr>
              <w:pStyle w:val="Tabletext"/>
            </w:pPr>
            <w:r>
              <w:t>LOCAL AUTHORITIES ROAD AGENCY]</w:t>
            </w:r>
          </w:p>
        </w:tc>
        <w:tc>
          <w:tcPr>
            <w:tcW w:w="2097" w:type="dxa"/>
          </w:tcPr>
          <w:p w14:paraId="46427139" w14:textId="77777777" w:rsidR="006D1066" w:rsidRPr="001D2186" w:rsidRDefault="006D1066" w:rsidP="00644012">
            <w:pPr>
              <w:pStyle w:val="Tabletext"/>
            </w:pPr>
          </w:p>
        </w:tc>
        <w:tc>
          <w:tcPr>
            <w:tcW w:w="2275" w:type="dxa"/>
          </w:tcPr>
          <w:p w14:paraId="7DFE6F4B" w14:textId="43543EBF" w:rsidR="006D1066" w:rsidRDefault="006D1066" w:rsidP="006D1066">
            <w:pPr>
              <w:pStyle w:val="Tabletext"/>
            </w:pPr>
            <w:r w:rsidRPr="001D2186">
              <w:t>Cost per participant around USD 1,300 including airfare, hotel fees, booking costs, and per diem.</w:t>
            </w:r>
          </w:p>
        </w:tc>
      </w:tr>
      <w:tr w:rsidR="006D1066" w:rsidRPr="001D2186" w14:paraId="2D2AD405" w14:textId="77777777" w:rsidTr="003F3FA1">
        <w:trPr>
          <w:cantSplit/>
          <w:trHeight w:val="184"/>
        </w:trPr>
        <w:tc>
          <w:tcPr>
            <w:tcW w:w="2500" w:type="dxa"/>
          </w:tcPr>
          <w:p w14:paraId="282D0F76" w14:textId="19F03F47" w:rsidR="006D1066" w:rsidRPr="001D2186" w:rsidRDefault="006D1066" w:rsidP="006D1066">
            <w:pPr>
              <w:pStyle w:val="Tabletext"/>
            </w:pPr>
            <w:r w:rsidRPr="001D2186">
              <w:t xml:space="preserve">University curriculum on </w:t>
            </w:r>
            <w:r>
              <w:t>bicycle repair</w:t>
            </w:r>
          </w:p>
        </w:tc>
        <w:tc>
          <w:tcPr>
            <w:tcW w:w="3935" w:type="dxa"/>
          </w:tcPr>
          <w:p w14:paraId="63B6E90C" w14:textId="1AC7BEBB" w:rsidR="006D1066" w:rsidRPr="001D2186" w:rsidRDefault="006D1066" w:rsidP="006D1066">
            <w:pPr>
              <w:pStyle w:val="Tabletext"/>
            </w:pPr>
            <w:r>
              <w:t>Introduce bicycle repair training in technical colleges</w:t>
            </w:r>
          </w:p>
        </w:tc>
        <w:tc>
          <w:tcPr>
            <w:tcW w:w="1519" w:type="dxa"/>
          </w:tcPr>
          <w:p w14:paraId="7B1760A0" w14:textId="59971A55" w:rsidR="006D1066" w:rsidRPr="001D2186" w:rsidRDefault="00B56BAF" w:rsidP="006D1066">
            <w:pPr>
              <w:pStyle w:val="Tabletext"/>
            </w:pPr>
            <w:r>
              <w:t>[</w:t>
            </w:r>
            <w:r w:rsidR="00977EB1">
              <w:t>EDUCATIONAL INSTITUTIONS</w:t>
            </w:r>
            <w:r>
              <w:t>]</w:t>
            </w:r>
          </w:p>
        </w:tc>
        <w:tc>
          <w:tcPr>
            <w:tcW w:w="1761" w:type="dxa"/>
          </w:tcPr>
          <w:p w14:paraId="4AE2D036" w14:textId="277278DF" w:rsidR="006D1066" w:rsidRDefault="00B56BAF" w:rsidP="006D1066">
            <w:pPr>
              <w:pStyle w:val="Tabletext"/>
            </w:pPr>
            <w:r>
              <w:t>[</w:t>
            </w:r>
            <w:r w:rsidR="00977EB1">
              <w:t>TRANSPORT MINISTRY</w:t>
            </w:r>
            <w:r>
              <w:t>]</w:t>
            </w:r>
          </w:p>
        </w:tc>
        <w:tc>
          <w:tcPr>
            <w:tcW w:w="2097" w:type="dxa"/>
          </w:tcPr>
          <w:p w14:paraId="7A5A8BA5" w14:textId="7F823CB8" w:rsidR="006D1066" w:rsidRPr="001D2186" w:rsidRDefault="006D1066" w:rsidP="006D1066">
            <w:pPr>
              <w:pStyle w:val="Tabletext"/>
            </w:pPr>
          </w:p>
        </w:tc>
        <w:tc>
          <w:tcPr>
            <w:tcW w:w="2275" w:type="dxa"/>
          </w:tcPr>
          <w:p w14:paraId="7EAC2595" w14:textId="1121DB62" w:rsidR="006D1066" w:rsidRDefault="006D1066" w:rsidP="006D1066">
            <w:pPr>
              <w:pStyle w:val="Tabletext"/>
            </w:pPr>
            <w:r>
              <w:t>Staff time</w:t>
            </w:r>
          </w:p>
        </w:tc>
      </w:tr>
      <w:tr w:rsidR="006D1066" w:rsidRPr="001D2186" w14:paraId="266362D5" w14:textId="77777777" w:rsidTr="00EA3F17">
        <w:trPr>
          <w:cantSplit/>
          <w:trHeight w:val="1445"/>
        </w:trPr>
        <w:tc>
          <w:tcPr>
            <w:tcW w:w="2500" w:type="dxa"/>
          </w:tcPr>
          <w:p w14:paraId="2EA88898" w14:textId="5CDE4C54" w:rsidR="006D1066" w:rsidRPr="001D2186" w:rsidRDefault="006D1066" w:rsidP="006D1066">
            <w:pPr>
              <w:pStyle w:val="Tabletext"/>
            </w:pPr>
            <w:r w:rsidRPr="001D2186">
              <w:lastRenderedPageBreak/>
              <w:t xml:space="preserve">University curriculum on </w:t>
            </w:r>
            <w:r>
              <w:t>complete street design</w:t>
            </w:r>
          </w:p>
        </w:tc>
        <w:tc>
          <w:tcPr>
            <w:tcW w:w="3935" w:type="dxa"/>
          </w:tcPr>
          <w:p w14:paraId="128CEB8A" w14:textId="338B5161" w:rsidR="006D1066" w:rsidRPr="001D2186" w:rsidRDefault="006D1066" w:rsidP="006D1066">
            <w:pPr>
              <w:pStyle w:val="Tabletext"/>
            </w:pPr>
            <w:r w:rsidRPr="001D2186">
              <w:t>Integrate training on complete street design and pedestrian mobility into curriculum at local universities so that new professionals enter workforce properly trained in street design best practices.</w:t>
            </w:r>
          </w:p>
        </w:tc>
        <w:tc>
          <w:tcPr>
            <w:tcW w:w="1519" w:type="dxa"/>
          </w:tcPr>
          <w:p w14:paraId="4334C913" w14:textId="513D6223" w:rsidR="006D1066" w:rsidRPr="001D2186" w:rsidRDefault="00B56BAF" w:rsidP="00C0649D">
            <w:pPr>
              <w:pStyle w:val="Tabletext"/>
            </w:pPr>
            <w:r>
              <w:t>[</w:t>
            </w:r>
            <w:r w:rsidR="00977EB1">
              <w:t xml:space="preserve">UNIVERSITY </w:t>
            </w:r>
            <w:r w:rsidR="00977EB1" w:rsidRPr="001D2186">
              <w:t>DEPARTMENTS OF CIVIL ENGINEERING AND URBAN PLANNING</w:t>
            </w:r>
            <w:r>
              <w:t>]</w:t>
            </w:r>
          </w:p>
        </w:tc>
        <w:tc>
          <w:tcPr>
            <w:tcW w:w="1761" w:type="dxa"/>
          </w:tcPr>
          <w:p w14:paraId="6D7357B5" w14:textId="5A47C2FD" w:rsidR="006D1066" w:rsidRDefault="00B56BAF" w:rsidP="006D1066">
            <w:pPr>
              <w:pStyle w:val="Tabletext"/>
            </w:pPr>
            <w:r>
              <w:t>[</w:t>
            </w:r>
            <w:r w:rsidR="00977EB1">
              <w:t>TRANSPORT MINISTRY</w:t>
            </w:r>
          </w:p>
          <w:p w14:paraId="5B12C3BB" w14:textId="6D93CDB6" w:rsidR="006D1066" w:rsidRPr="001D2186" w:rsidRDefault="00977EB1" w:rsidP="006D1066">
            <w:pPr>
              <w:pStyle w:val="Tabletext"/>
            </w:pPr>
            <w:r>
              <w:t>ROAD DEVELOPMENT AGENCY</w:t>
            </w:r>
            <w:r w:rsidR="00B56BAF">
              <w:t>]</w:t>
            </w:r>
          </w:p>
        </w:tc>
        <w:tc>
          <w:tcPr>
            <w:tcW w:w="2097" w:type="dxa"/>
          </w:tcPr>
          <w:p w14:paraId="79EBB100" w14:textId="7E70876F" w:rsidR="006D1066" w:rsidRPr="001D2186" w:rsidRDefault="006D1066" w:rsidP="006D1066">
            <w:pPr>
              <w:pStyle w:val="Tabletext"/>
            </w:pPr>
            <w:r w:rsidRPr="001D2186">
              <w:t xml:space="preserve">Establish curriculum by </w:t>
            </w:r>
            <w:r>
              <w:t>Dec</w:t>
            </w:r>
            <w:r w:rsidRPr="001D2186">
              <w:t xml:space="preserve"> 2020. </w:t>
            </w:r>
            <w:r>
              <w:t>Courses based on curriculum</w:t>
            </w:r>
            <w:r w:rsidRPr="001D2186">
              <w:t xml:space="preserve"> from </w:t>
            </w:r>
            <w:r>
              <w:t>Jan 2021</w:t>
            </w:r>
            <w:r w:rsidRPr="001D2186">
              <w:t xml:space="preserve"> onward</w:t>
            </w:r>
          </w:p>
        </w:tc>
        <w:tc>
          <w:tcPr>
            <w:tcW w:w="2275" w:type="dxa"/>
          </w:tcPr>
          <w:p w14:paraId="61F2458F" w14:textId="63F028C8" w:rsidR="006D1066" w:rsidRPr="001D2186" w:rsidRDefault="006D1066" w:rsidP="006D1066">
            <w:pPr>
              <w:pStyle w:val="Tabletext"/>
            </w:pPr>
            <w:r>
              <w:t>Staff time</w:t>
            </w:r>
          </w:p>
        </w:tc>
      </w:tr>
    </w:tbl>
    <w:p w14:paraId="7B37C435" w14:textId="073524B3" w:rsidR="00380295" w:rsidRPr="00621DDA" w:rsidRDefault="00212EC8" w:rsidP="00212EC8">
      <w:pPr>
        <w:tabs>
          <w:tab w:val="left" w:pos="11736"/>
        </w:tabs>
        <w:rPr>
          <w:highlight w:val="yellow"/>
        </w:rPr>
        <w:sectPr w:rsidR="00380295" w:rsidRPr="00621DDA" w:rsidSect="00644012">
          <w:pgSz w:w="16840" w:h="11900" w:orient="landscape"/>
          <w:pgMar w:top="1440" w:right="1440" w:bottom="1440" w:left="1440" w:header="720" w:footer="864" w:gutter="0"/>
          <w:pgNumType w:start="1"/>
          <w:cols w:space="720"/>
          <w:docGrid w:linePitch="299"/>
        </w:sectPr>
      </w:pPr>
      <w:r>
        <w:rPr>
          <w:highlight w:val="yellow"/>
        </w:rPr>
        <w:tab/>
      </w:r>
    </w:p>
    <w:p w14:paraId="62248C4F" w14:textId="75E9694C" w:rsidR="001E40C1" w:rsidRPr="00800A61" w:rsidRDefault="001B69AB" w:rsidP="00B72986">
      <w:pPr>
        <w:pStyle w:val="Heading1"/>
      </w:pPr>
      <w:bookmarkStart w:id="125" w:name="_Toc7200531"/>
      <w:r w:rsidRPr="00800A61">
        <w:lastRenderedPageBreak/>
        <w:t>Appendi</w:t>
      </w:r>
      <w:r w:rsidR="00800A61">
        <w:t xml:space="preserve">x: </w:t>
      </w:r>
      <w:r w:rsidRPr="00800A61">
        <w:t xml:space="preserve">Street </w:t>
      </w:r>
      <w:r w:rsidR="00800A61" w:rsidRPr="00800A61">
        <w:t xml:space="preserve">design </w:t>
      </w:r>
      <w:r w:rsidR="00800A61">
        <w:t>standards</w:t>
      </w:r>
      <w:bookmarkEnd w:id="125"/>
    </w:p>
    <w:p w14:paraId="73BD4DE5" w14:textId="77777777" w:rsidR="00800A61" w:rsidRPr="00896F6F" w:rsidRDefault="00800A61" w:rsidP="006B41F2">
      <w:pPr>
        <w:pStyle w:val="Policyhead"/>
        <w:numPr>
          <w:ilvl w:val="0"/>
          <w:numId w:val="19"/>
        </w:numPr>
        <w:ind w:left="360"/>
      </w:pPr>
      <w:bookmarkStart w:id="126" w:name="_Toc525113190"/>
      <w:r w:rsidRPr="00896F6F">
        <w:t>Street typologies</w:t>
      </w:r>
      <w:bookmarkEnd w:id="126"/>
    </w:p>
    <w:p w14:paraId="4062308B" w14:textId="77777777" w:rsidR="00800A61" w:rsidRPr="00896F6F" w:rsidRDefault="00800A61" w:rsidP="006B41F2">
      <w:pPr>
        <w:pStyle w:val="Policytext1"/>
        <w:numPr>
          <w:ilvl w:val="1"/>
          <w:numId w:val="9"/>
        </w:numPr>
        <w:ind w:left="720" w:hanging="720"/>
      </w:pPr>
      <w:r>
        <w:t>The</w:t>
      </w:r>
      <w:r w:rsidRPr="00896F6F">
        <w:t xml:space="preserve"> street typologies listed in </w:t>
      </w:r>
      <w:r w:rsidRPr="00896F6F">
        <w:fldChar w:fldCharType="begin"/>
      </w:r>
      <w:r w:rsidRPr="00896F6F">
        <w:instrText xml:space="preserve"> REF _Ref470859562 \h </w:instrText>
      </w:r>
      <w:r w:rsidRPr="00896F6F">
        <w:fldChar w:fldCharType="separate"/>
      </w:r>
      <w:r w:rsidRPr="00896F6F">
        <w:t xml:space="preserve">Table </w:t>
      </w:r>
      <w:r>
        <w:rPr>
          <w:noProof/>
        </w:rPr>
        <w:t>6</w:t>
      </w:r>
      <w:r w:rsidRPr="00896F6F">
        <w:fldChar w:fldCharType="end"/>
      </w:r>
      <w:r w:rsidRPr="00896F6F">
        <w:t xml:space="preserve"> </w:t>
      </w:r>
      <w:r>
        <w:t>will</w:t>
      </w:r>
      <w:r w:rsidRPr="00896F6F">
        <w:t xml:space="preserve"> guide the design of street according to their role in the transport network and local conditions.</w:t>
      </w:r>
    </w:p>
    <w:p w14:paraId="11ED2322" w14:textId="77777777" w:rsidR="00800A61" w:rsidRPr="00896F6F" w:rsidRDefault="00800A61" w:rsidP="00800A61">
      <w:pPr>
        <w:pStyle w:val="Policyhead"/>
        <w:ind w:left="0" w:firstLine="0"/>
      </w:pPr>
      <w:bookmarkStart w:id="127" w:name="_Ref469514484"/>
    </w:p>
    <w:p w14:paraId="516992A3" w14:textId="097F51C4" w:rsidR="00800A61" w:rsidRPr="00896F6F" w:rsidRDefault="00800A61" w:rsidP="00800A61">
      <w:pPr>
        <w:pStyle w:val="Caption"/>
      </w:pPr>
      <w:bookmarkStart w:id="128" w:name="_Ref470859562"/>
      <w:bookmarkStart w:id="129" w:name="_Ref470859557"/>
      <w:r w:rsidRPr="00896F6F">
        <w:t xml:space="preserve">Table </w:t>
      </w:r>
      <w:r>
        <w:fldChar w:fldCharType="begin"/>
      </w:r>
      <w:r>
        <w:instrText xml:space="preserve"> SEQ Table \* ARABIC </w:instrText>
      </w:r>
      <w:r>
        <w:fldChar w:fldCharType="separate"/>
      </w:r>
      <w:r w:rsidR="00851657">
        <w:rPr>
          <w:noProof/>
        </w:rPr>
        <w:t>10</w:t>
      </w:r>
      <w:r>
        <w:rPr>
          <w:noProof/>
        </w:rPr>
        <w:fldChar w:fldCharType="end"/>
      </w:r>
      <w:bookmarkEnd w:id="127"/>
      <w:bookmarkEnd w:id="128"/>
      <w:r w:rsidRPr="00896F6F">
        <w:t>: Street typologies</w:t>
      </w:r>
      <w:bookmarkEnd w:id="129"/>
    </w:p>
    <w:tbl>
      <w:tblPr>
        <w:tblStyle w:val="TableGridLight1"/>
        <w:tblW w:w="5066" w:type="pct"/>
        <w:tblLook w:val="04A0" w:firstRow="1" w:lastRow="0" w:firstColumn="1" w:lastColumn="0" w:noHBand="0" w:noVBand="1"/>
      </w:tblPr>
      <w:tblGrid>
        <w:gridCol w:w="1588"/>
        <w:gridCol w:w="1735"/>
        <w:gridCol w:w="1733"/>
        <w:gridCol w:w="2249"/>
        <w:gridCol w:w="1824"/>
      </w:tblGrid>
      <w:tr w:rsidR="00800A61" w:rsidRPr="00896F6F" w14:paraId="33AB6F8A" w14:textId="77777777" w:rsidTr="00B72986">
        <w:trPr>
          <w:cnfStyle w:val="100000000000" w:firstRow="1" w:lastRow="0" w:firstColumn="0" w:lastColumn="0" w:oddVBand="0" w:evenVBand="0" w:oddHBand="0" w:evenHBand="0" w:firstRowFirstColumn="0" w:firstRowLastColumn="0" w:lastRowFirstColumn="0" w:lastRowLastColumn="0"/>
          <w:trHeight w:val="26"/>
        </w:trPr>
        <w:tc>
          <w:tcPr>
            <w:tcW w:w="870" w:type="pct"/>
          </w:tcPr>
          <w:p w14:paraId="5A2B5566" w14:textId="77777777" w:rsidR="00800A61" w:rsidRPr="00896F6F" w:rsidRDefault="00800A61" w:rsidP="00B72986">
            <w:pPr>
              <w:pStyle w:val="Tabletext"/>
            </w:pPr>
            <w:r w:rsidRPr="00896F6F">
              <w:t>Features</w:t>
            </w:r>
          </w:p>
        </w:tc>
        <w:tc>
          <w:tcPr>
            <w:tcW w:w="950" w:type="pct"/>
          </w:tcPr>
          <w:p w14:paraId="4B781042" w14:textId="77777777" w:rsidR="00800A61" w:rsidRPr="00896F6F" w:rsidRDefault="00800A61" w:rsidP="00B72986">
            <w:pPr>
              <w:pStyle w:val="Tabletext"/>
            </w:pPr>
            <w:r w:rsidRPr="00896F6F">
              <w:t>Local</w:t>
            </w:r>
          </w:p>
        </w:tc>
        <w:tc>
          <w:tcPr>
            <w:tcW w:w="949" w:type="pct"/>
          </w:tcPr>
          <w:p w14:paraId="58148486" w14:textId="77777777" w:rsidR="00800A61" w:rsidRPr="00896F6F" w:rsidRDefault="00800A61" w:rsidP="00B72986">
            <w:pPr>
              <w:pStyle w:val="Tabletext"/>
            </w:pPr>
            <w:r w:rsidRPr="00896F6F">
              <w:t>Minor collector</w:t>
            </w:r>
          </w:p>
        </w:tc>
        <w:tc>
          <w:tcPr>
            <w:tcW w:w="1232" w:type="pct"/>
          </w:tcPr>
          <w:p w14:paraId="262CECA3" w14:textId="77777777" w:rsidR="00800A61" w:rsidRPr="00896F6F" w:rsidRDefault="00800A61" w:rsidP="00B72986">
            <w:pPr>
              <w:pStyle w:val="Tabletext"/>
            </w:pPr>
            <w:r w:rsidRPr="00896F6F">
              <w:t>Major collector</w:t>
            </w:r>
          </w:p>
        </w:tc>
        <w:tc>
          <w:tcPr>
            <w:tcW w:w="999" w:type="pct"/>
          </w:tcPr>
          <w:p w14:paraId="247EE888" w14:textId="77777777" w:rsidR="00800A61" w:rsidRPr="00896F6F" w:rsidRDefault="00800A61" w:rsidP="00B72986">
            <w:pPr>
              <w:pStyle w:val="Tabletext"/>
            </w:pPr>
            <w:r w:rsidRPr="00896F6F">
              <w:t>Arterial</w:t>
            </w:r>
          </w:p>
        </w:tc>
      </w:tr>
      <w:tr w:rsidR="00800A61" w:rsidRPr="00896F6F" w14:paraId="5105BBAE" w14:textId="77777777" w:rsidTr="00B72986">
        <w:tc>
          <w:tcPr>
            <w:tcW w:w="870" w:type="pct"/>
          </w:tcPr>
          <w:p w14:paraId="52E2DB92" w14:textId="77777777" w:rsidR="00800A61" w:rsidRPr="00896F6F" w:rsidRDefault="00800A61" w:rsidP="00B72986">
            <w:pPr>
              <w:pStyle w:val="Tabletext"/>
            </w:pPr>
            <w:r w:rsidRPr="00896F6F">
              <w:t>Functions</w:t>
            </w:r>
          </w:p>
        </w:tc>
        <w:tc>
          <w:tcPr>
            <w:tcW w:w="950" w:type="pct"/>
          </w:tcPr>
          <w:p w14:paraId="640E5318" w14:textId="77777777" w:rsidR="00800A61" w:rsidRPr="00896F6F" w:rsidRDefault="00800A61" w:rsidP="00B72986">
            <w:pPr>
              <w:pStyle w:val="Tabletext"/>
            </w:pPr>
            <w:r w:rsidRPr="00896F6F">
              <w:t>Access to adjoining uses with little through traffic. Some roadside activity.</w:t>
            </w:r>
          </w:p>
        </w:tc>
        <w:tc>
          <w:tcPr>
            <w:tcW w:w="949" w:type="pct"/>
          </w:tcPr>
          <w:p w14:paraId="14969E82" w14:textId="77777777" w:rsidR="00800A61" w:rsidRPr="00896F6F" w:rsidRDefault="00800A61" w:rsidP="00B72986">
            <w:pPr>
              <w:pStyle w:val="Tabletext"/>
            </w:pPr>
            <w:r w:rsidRPr="00896F6F">
              <w:t>Local</w:t>
            </w:r>
          </w:p>
          <w:p w14:paraId="714B8C15" w14:textId="77777777" w:rsidR="00800A61" w:rsidRPr="00896F6F" w:rsidRDefault="00800A61" w:rsidP="00B72986">
            <w:pPr>
              <w:pStyle w:val="Tabletext"/>
            </w:pPr>
            <w:r w:rsidRPr="00896F6F">
              <w:t>traffic movement</w:t>
            </w:r>
          </w:p>
          <w:p w14:paraId="7A49FDEF" w14:textId="77777777" w:rsidR="00800A61" w:rsidRPr="00896F6F" w:rsidRDefault="00800A61" w:rsidP="00B72986">
            <w:pPr>
              <w:pStyle w:val="Tabletext"/>
            </w:pPr>
            <w:r w:rsidRPr="00896F6F">
              <w:t>and to connect to</w:t>
            </w:r>
          </w:p>
          <w:p w14:paraId="039FA0DB" w14:textId="77777777" w:rsidR="00800A61" w:rsidRPr="00896F6F" w:rsidRDefault="00800A61" w:rsidP="00B72986">
            <w:pPr>
              <w:pStyle w:val="Tabletext"/>
            </w:pPr>
            <w:r w:rsidRPr="00896F6F">
              <w:t>arterial streets. Moderate roadside activity.</w:t>
            </w:r>
          </w:p>
        </w:tc>
        <w:tc>
          <w:tcPr>
            <w:tcW w:w="1232" w:type="pct"/>
          </w:tcPr>
          <w:p w14:paraId="1DEA9BBF" w14:textId="77777777" w:rsidR="00800A61" w:rsidRPr="00896F6F" w:rsidRDefault="00800A61" w:rsidP="00B72986">
            <w:pPr>
              <w:pStyle w:val="Tabletext"/>
            </w:pPr>
            <w:r w:rsidRPr="00896F6F">
              <w:t>Local</w:t>
            </w:r>
          </w:p>
          <w:p w14:paraId="4C65ABFA" w14:textId="77777777" w:rsidR="00800A61" w:rsidRPr="00896F6F" w:rsidRDefault="00800A61" w:rsidP="00B72986">
            <w:pPr>
              <w:pStyle w:val="Tabletext"/>
            </w:pPr>
            <w:r w:rsidRPr="00896F6F">
              <w:t>traffic movement</w:t>
            </w:r>
          </w:p>
          <w:p w14:paraId="73837B7F" w14:textId="77777777" w:rsidR="00800A61" w:rsidRPr="00896F6F" w:rsidRDefault="00800A61" w:rsidP="00B72986">
            <w:pPr>
              <w:pStyle w:val="Tabletext"/>
            </w:pPr>
            <w:r w:rsidRPr="00896F6F">
              <w:t>and to connect to</w:t>
            </w:r>
          </w:p>
          <w:p w14:paraId="1625A3A3" w14:textId="77777777" w:rsidR="00800A61" w:rsidRPr="00896F6F" w:rsidRDefault="00800A61" w:rsidP="00B72986">
            <w:pPr>
              <w:pStyle w:val="Tabletext"/>
            </w:pPr>
            <w:r w:rsidRPr="00896F6F">
              <w:t>arterial streets. Moderate roadside activity.</w:t>
            </w:r>
          </w:p>
        </w:tc>
        <w:tc>
          <w:tcPr>
            <w:tcW w:w="999" w:type="pct"/>
          </w:tcPr>
          <w:p w14:paraId="3D03584A" w14:textId="77777777" w:rsidR="00800A61" w:rsidRPr="00896F6F" w:rsidRDefault="00800A61" w:rsidP="00B72986">
            <w:pPr>
              <w:pStyle w:val="Tabletext"/>
            </w:pPr>
            <w:r w:rsidRPr="00896F6F">
              <w:t>Meant for</w:t>
            </w:r>
          </w:p>
          <w:p w14:paraId="445EF1F0" w14:textId="77777777" w:rsidR="00800A61" w:rsidRPr="00896F6F" w:rsidRDefault="00800A61" w:rsidP="00B72986">
            <w:pPr>
              <w:pStyle w:val="Tabletext"/>
            </w:pPr>
            <w:r w:rsidRPr="00896F6F">
              <w:t>movement across</w:t>
            </w:r>
          </w:p>
          <w:p w14:paraId="097462FA" w14:textId="77777777" w:rsidR="00800A61" w:rsidRPr="00896F6F" w:rsidRDefault="00800A61" w:rsidP="00B72986">
            <w:pPr>
              <w:pStyle w:val="Tabletext"/>
            </w:pPr>
            <w:r w:rsidRPr="00896F6F">
              <w:t>the city. Significant road side activity.</w:t>
            </w:r>
          </w:p>
        </w:tc>
      </w:tr>
      <w:tr w:rsidR="00800A61" w:rsidRPr="00896F6F" w14:paraId="060AA1FC" w14:textId="77777777" w:rsidTr="00B72986">
        <w:tc>
          <w:tcPr>
            <w:tcW w:w="870" w:type="pct"/>
          </w:tcPr>
          <w:p w14:paraId="63FDD827" w14:textId="77777777" w:rsidR="00800A61" w:rsidRPr="00896F6F" w:rsidRDefault="00800A61" w:rsidP="00B72986">
            <w:pPr>
              <w:pStyle w:val="Tabletext"/>
            </w:pPr>
            <w:r w:rsidRPr="00896F6F">
              <w:t>Speed limit</w:t>
            </w:r>
          </w:p>
        </w:tc>
        <w:tc>
          <w:tcPr>
            <w:tcW w:w="950" w:type="pct"/>
          </w:tcPr>
          <w:p w14:paraId="1C5A371F" w14:textId="77777777" w:rsidR="00800A61" w:rsidRPr="00896F6F" w:rsidRDefault="00800A61" w:rsidP="00B72986">
            <w:pPr>
              <w:pStyle w:val="Tabletext"/>
            </w:pPr>
            <w:r>
              <w:t>20</w:t>
            </w:r>
            <w:r w:rsidRPr="00896F6F">
              <w:t xml:space="preserve"> km/h</w:t>
            </w:r>
          </w:p>
        </w:tc>
        <w:tc>
          <w:tcPr>
            <w:tcW w:w="949" w:type="pct"/>
          </w:tcPr>
          <w:p w14:paraId="4C0169C4" w14:textId="77777777" w:rsidR="00800A61" w:rsidRPr="00896F6F" w:rsidRDefault="00800A61" w:rsidP="00B72986">
            <w:pPr>
              <w:pStyle w:val="Tabletext"/>
            </w:pPr>
            <w:r w:rsidRPr="00896F6F">
              <w:t>30 km/h</w:t>
            </w:r>
          </w:p>
        </w:tc>
        <w:tc>
          <w:tcPr>
            <w:tcW w:w="1232" w:type="pct"/>
          </w:tcPr>
          <w:p w14:paraId="6D43654F" w14:textId="77777777" w:rsidR="00800A61" w:rsidRPr="00896F6F" w:rsidRDefault="00800A61" w:rsidP="00B72986">
            <w:pPr>
              <w:pStyle w:val="Tabletext"/>
            </w:pPr>
            <w:r w:rsidRPr="00896F6F">
              <w:t>40 km/h</w:t>
            </w:r>
          </w:p>
        </w:tc>
        <w:tc>
          <w:tcPr>
            <w:tcW w:w="999" w:type="pct"/>
          </w:tcPr>
          <w:p w14:paraId="4D92711F" w14:textId="77777777" w:rsidR="00800A61" w:rsidRPr="00896F6F" w:rsidRDefault="00800A61" w:rsidP="00B72986">
            <w:pPr>
              <w:pStyle w:val="Tabletext"/>
            </w:pPr>
            <w:r w:rsidRPr="00896F6F">
              <w:t>50 km/h</w:t>
            </w:r>
          </w:p>
        </w:tc>
      </w:tr>
      <w:tr w:rsidR="00800A61" w:rsidRPr="00896F6F" w14:paraId="39DD03E3" w14:textId="77777777" w:rsidTr="00B72986">
        <w:tc>
          <w:tcPr>
            <w:tcW w:w="870" w:type="pct"/>
          </w:tcPr>
          <w:p w14:paraId="60F4ED5A" w14:textId="77777777" w:rsidR="00800A61" w:rsidRPr="00896F6F" w:rsidRDefault="00800A61" w:rsidP="00B72986">
            <w:pPr>
              <w:pStyle w:val="Tabletext"/>
            </w:pPr>
            <w:r w:rsidRPr="00896F6F">
              <w:t>Footpath clear width</w:t>
            </w:r>
          </w:p>
        </w:tc>
        <w:tc>
          <w:tcPr>
            <w:tcW w:w="950" w:type="pct"/>
          </w:tcPr>
          <w:p w14:paraId="2F42875D" w14:textId="77777777" w:rsidR="00800A61" w:rsidRPr="00896F6F" w:rsidRDefault="00800A61" w:rsidP="00B72986">
            <w:pPr>
              <w:pStyle w:val="Tabletext"/>
            </w:pPr>
            <w:r w:rsidRPr="00896F6F">
              <w:t>2 m on at least one side; may also be designed as shared space</w:t>
            </w:r>
          </w:p>
        </w:tc>
        <w:tc>
          <w:tcPr>
            <w:tcW w:w="949" w:type="pct"/>
          </w:tcPr>
          <w:p w14:paraId="264FC351" w14:textId="77777777" w:rsidR="00800A61" w:rsidRPr="00896F6F" w:rsidRDefault="00800A61" w:rsidP="00B72986">
            <w:pPr>
              <w:pStyle w:val="Tabletext"/>
            </w:pPr>
            <w:r w:rsidRPr="00896F6F">
              <w:t>2 m on both sides</w:t>
            </w:r>
          </w:p>
        </w:tc>
        <w:tc>
          <w:tcPr>
            <w:tcW w:w="1232" w:type="pct"/>
          </w:tcPr>
          <w:p w14:paraId="5D04CDAB" w14:textId="77777777" w:rsidR="00800A61" w:rsidRPr="00896F6F" w:rsidRDefault="00800A61" w:rsidP="00B72986">
            <w:pPr>
              <w:pStyle w:val="Tabletext"/>
            </w:pPr>
            <w:r w:rsidRPr="00896F6F">
              <w:t>3 m on both sides</w:t>
            </w:r>
          </w:p>
        </w:tc>
        <w:tc>
          <w:tcPr>
            <w:tcW w:w="999" w:type="pct"/>
          </w:tcPr>
          <w:p w14:paraId="1C5311C2" w14:textId="77777777" w:rsidR="00800A61" w:rsidRPr="00896F6F" w:rsidRDefault="00800A61" w:rsidP="00B72986">
            <w:pPr>
              <w:pStyle w:val="Tabletext"/>
              <w:rPr>
                <w:cs/>
                <w:lang w:bidi="hi-IN"/>
              </w:rPr>
            </w:pPr>
            <w:r w:rsidRPr="00896F6F">
              <w:t>≥ 3 m on both sides</w:t>
            </w:r>
          </w:p>
        </w:tc>
      </w:tr>
      <w:tr w:rsidR="00800A61" w:rsidRPr="00896F6F" w14:paraId="2C2EF52F" w14:textId="77777777" w:rsidTr="00B72986">
        <w:tc>
          <w:tcPr>
            <w:tcW w:w="870" w:type="pct"/>
          </w:tcPr>
          <w:p w14:paraId="6EEAEF15" w14:textId="77777777" w:rsidR="00800A61" w:rsidRPr="00896F6F" w:rsidRDefault="00800A61" w:rsidP="00B72986">
            <w:pPr>
              <w:pStyle w:val="Tabletext"/>
            </w:pPr>
            <w:r w:rsidRPr="00896F6F">
              <w:t>Cycling</w:t>
            </w:r>
          </w:p>
        </w:tc>
        <w:tc>
          <w:tcPr>
            <w:tcW w:w="950" w:type="pct"/>
          </w:tcPr>
          <w:p w14:paraId="45E2EDBE" w14:textId="77777777" w:rsidR="00800A61" w:rsidRPr="00896F6F" w:rsidRDefault="00800A61" w:rsidP="00B72986">
            <w:pPr>
              <w:pStyle w:val="Tabletext"/>
            </w:pPr>
            <w:r w:rsidRPr="00896F6F">
              <w:t>In mixed traffic</w:t>
            </w:r>
          </w:p>
        </w:tc>
        <w:tc>
          <w:tcPr>
            <w:tcW w:w="949" w:type="pct"/>
          </w:tcPr>
          <w:p w14:paraId="2DC76844" w14:textId="77777777" w:rsidR="00800A61" w:rsidRPr="00896F6F" w:rsidRDefault="00800A61" w:rsidP="00B72986">
            <w:pPr>
              <w:pStyle w:val="Tabletext"/>
            </w:pPr>
            <w:r w:rsidRPr="00896F6F">
              <w:t>In mixed traffic</w:t>
            </w:r>
          </w:p>
        </w:tc>
        <w:tc>
          <w:tcPr>
            <w:tcW w:w="1232" w:type="pct"/>
          </w:tcPr>
          <w:p w14:paraId="55F7D52A" w14:textId="77777777" w:rsidR="00800A61" w:rsidRPr="00896F6F" w:rsidRDefault="00800A61" w:rsidP="00B72986">
            <w:pPr>
              <w:pStyle w:val="Tabletext"/>
            </w:pPr>
            <w:r w:rsidRPr="00896F6F">
              <w:t>May have dedicated cycle tracks if part of the cycling network</w:t>
            </w:r>
          </w:p>
        </w:tc>
        <w:tc>
          <w:tcPr>
            <w:tcW w:w="999" w:type="pct"/>
          </w:tcPr>
          <w:p w14:paraId="1FB98BA5" w14:textId="77777777" w:rsidR="00800A61" w:rsidRPr="00896F6F" w:rsidRDefault="00800A61" w:rsidP="00B72986">
            <w:pPr>
              <w:pStyle w:val="Tabletext"/>
            </w:pPr>
            <w:r w:rsidRPr="00896F6F">
              <w:t>May have dedicated cycle tracks if part of the cycling network</w:t>
            </w:r>
          </w:p>
        </w:tc>
      </w:tr>
      <w:tr w:rsidR="00800A61" w:rsidRPr="00896F6F" w14:paraId="4CB7A06A" w14:textId="77777777" w:rsidTr="00B72986">
        <w:tc>
          <w:tcPr>
            <w:tcW w:w="870" w:type="pct"/>
          </w:tcPr>
          <w:p w14:paraId="2080E76A" w14:textId="77777777" w:rsidR="00800A61" w:rsidRPr="00896F6F" w:rsidRDefault="00800A61" w:rsidP="00B72986">
            <w:pPr>
              <w:pStyle w:val="Tabletext"/>
            </w:pPr>
            <w:r w:rsidRPr="00896F6F">
              <w:t>Carriageway</w:t>
            </w:r>
          </w:p>
        </w:tc>
        <w:tc>
          <w:tcPr>
            <w:tcW w:w="950" w:type="pct"/>
          </w:tcPr>
          <w:p w14:paraId="0C3A9119" w14:textId="77777777" w:rsidR="00800A61" w:rsidRPr="00896F6F" w:rsidRDefault="00800A61" w:rsidP="00B72986">
            <w:pPr>
              <w:pStyle w:val="Tabletext"/>
            </w:pPr>
            <w:r w:rsidRPr="00896F6F">
              <w:t>3.5-5.5 m or shared</w:t>
            </w:r>
          </w:p>
          <w:p w14:paraId="3DDD196A" w14:textId="77777777" w:rsidR="00800A61" w:rsidRPr="00896F6F" w:rsidRDefault="00800A61" w:rsidP="00B72986">
            <w:pPr>
              <w:pStyle w:val="Tabletext"/>
            </w:pPr>
            <w:r w:rsidRPr="00896F6F">
              <w:t>space with priority</w:t>
            </w:r>
          </w:p>
          <w:p w14:paraId="6624CD39" w14:textId="77777777" w:rsidR="00800A61" w:rsidRPr="00896F6F" w:rsidRDefault="00800A61" w:rsidP="00B72986">
            <w:pPr>
              <w:pStyle w:val="Tabletext"/>
            </w:pPr>
            <w:r w:rsidRPr="00896F6F">
              <w:t>to NMT modes</w:t>
            </w:r>
          </w:p>
        </w:tc>
        <w:tc>
          <w:tcPr>
            <w:tcW w:w="949" w:type="pct"/>
          </w:tcPr>
          <w:p w14:paraId="2CE1FC1E" w14:textId="77777777" w:rsidR="00800A61" w:rsidRPr="00896F6F" w:rsidRDefault="00800A61" w:rsidP="00B72986">
            <w:pPr>
              <w:pStyle w:val="Tabletext"/>
            </w:pPr>
            <w:r w:rsidRPr="00896F6F">
              <w:t>4.5-6.5 m, undivided; for two</w:t>
            </w:r>
          </w:p>
          <w:p w14:paraId="7491E0C3" w14:textId="77777777" w:rsidR="00800A61" w:rsidRPr="00896F6F" w:rsidRDefault="00800A61" w:rsidP="00B72986">
            <w:pPr>
              <w:pStyle w:val="Tabletext"/>
            </w:pPr>
            <w:r w:rsidRPr="00896F6F">
              <w:t>way movement</w:t>
            </w:r>
          </w:p>
        </w:tc>
        <w:tc>
          <w:tcPr>
            <w:tcW w:w="1232" w:type="pct"/>
          </w:tcPr>
          <w:p w14:paraId="1B689F30" w14:textId="77777777" w:rsidR="00800A61" w:rsidRPr="00896F6F" w:rsidRDefault="00800A61" w:rsidP="00B72986">
            <w:pPr>
              <w:pStyle w:val="Tabletext"/>
            </w:pPr>
            <w:r w:rsidRPr="00896F6F">
              <w:t>&lt;5.5 m per direction</w:t>
            </w:r>
          </w:p>
        </w:tc>
        <w:tc>
          <w:tcPr>
            <w:tcW w:w="999" w:type="pct"/>
          </w:tcPr>
          <w:p w14:paraId="17AFC224" w14:textId="77777777" w:rsidR="00800A61" w:rsidRPr="00896F6F" w:rsidRDefault="00800A61" w:rsidP="00B72986">
            <w:pPr>
              <w:pStyle w:val="Tabletext"/>
            </w:pPr>
            <w:r w:rsidRPr="00896F6F">
              <w:t>6 m (2 lanes)-9 m (3 lanes) per direction</w:t>
            </w:r>
          </w:p>
        </w:tc>
      </w:tr>
      <w:tr w:rsidR="00800A61" w:rsidRPr="00896F6F" w14:paraId="0E9894B1" w14:textId="77777777" w:rsidTr="00B72986">
        <w:tc>
          <w:tcPr>
            <w:tcW w:w="870" w:type="pct"/>
          </w:tcPr>
          <w:p w14:paraId="3B91EB55" w14:textId="77777777" w:rsidR="00800A61" w:rsidRPr="00896F6F" w:rsidRDefault="00800A61" w:rsidP="00B72986">
            <w:pPr>
              <w:pStyle w:val="Tabletext"/>
            </w:pPr>
            <w:r w:rsidRPr="00896F6F">
              <w:t>Public transport</w:t>
            </w:r>
          </w:p>
        </w:tc>
        <w:tc>
          <w:tcPr>
            <w:tcW w:w="950" w:type="pct"/>
          </w:tcPr>
          <w:p w14:paraId="67FDFA23" w14:textId="77777777" w:rsidR="00800A61" w:rsidRPr="00896F6F" w:rsidRDefault="00800A61" w:rsidP="00B72986">
            <w:pPr>
              <w:pStyle w:val="Tabletext"/>
            </w:pPr>
            <w:r w:rsidRPr="00896F6F">
              <w:t>No</w:t>
            </w:r>
          </w:p>
        </w:tc>
        <w:tc>
          <w:tcPr>
            <w:tcW w:w="949" w:type="pct"/>
          </w:tcPr>
          <w:p w14:paraId="1571FDE3" w14:textId="77777777" w:rsidR="00800A61" w:rsidRPr="00896F6F" w:rsidRDefault="00800A61" w:rsidP="00B72986">
            <w:pPr>
              <w:pStyle w:val="Tabletext"/>
            </w:pPr>
            <w:r w:rsidRPr="00896F6F">
              <w:t>Feeder service</w:t>
            </w:r>
          </w:p>
        </w:tc>
        <w:tc>
          <w:tcPr>
            <w:tcW w:w="1232" w:type="pct"/>
          </w:tcPr>
          <w:p w14:paraId="5125B9E4" w14:textId="77777777" w:rsidR="00800A61" w:rsidRPr="00896F6F" w:rsidRDefault="00800A61" w:rsidP="00B72986">
            <w:pPr>
              <w:pStyle w:val="Tabletext"/>
            </w:pPr>
            <w:r w:rsidRPr="00896F6F">
              <w:t>Feeder buses &amp; medium frequency mainline bus services (&lt;30 buses/h)</w:t>
            </w:r>
          </w:p>
        </w:tc>
        <w:tc>
          <w:tcPr>
            <w:tcW w:w="999" w:type="pct"/>
          </w:tcPr>
          <w:p w14:paraId="2F594429" w14:textId="77777777" w:rsidR="00800A61" w:rsidRPr="00896F6F" w:rsidRDefault="00800A61" w:rsidP="00B72986">
            <w:pPr>
              <w:pStyle w:val="Tabletext"/>
            </w:pPr>
            <w:r w:rsidRPr="00896F6F">
              <w:t>High speed/ high frequency bus service (≥30 buses/h). may have dedicate lanes</w:t>
            </w:r>
          </w:p>
        </w:tc>
      </w:tr>
      <w:tr w:rsidR="00800A61" w:rsidRPr="00896F6F" w14:paraId="75F692D6" w14:textId="77777777" w:rsidTr="00B72986">
        <w:tc>
          <w:tcPr>
            <w:tcW w:w="870" w:type="pct"/>
          </w:tcPr>
          <w:p w14:paraId="0E8CFBD5" w14:textId="77777777" w:rsidR="00800A61" w:rsidRPr="00896F6F" w:rsidRDefault="00800A61" w:rsidP="00B72986">
            <w:pPr>
              <w:pStyle w:val="Tabletext"/>
            </w:pPr>
            <w:r w:rsidRPr="00896F6F">
              <w:t>Medians and</w:t>
            </w:r>
          </w:p>
          <w:p w14:paraId="51A5D054" w14:textId="77777777" w:rsidR="00800A61" w:rsidRPr="00896F6F" w:rsidRDefault="00800A61" w:rsidP="00B72986">
            <w:pPr>
              <w:pStyle w:val="Tabletext"/>
            </w:pPr>
            <w:r w:rsidRPr="00896F6F">
              <w:t>mid-block</w:t>
            </w:r>
          </w:p>
          <w:p w14:paraId="6135F7F6" w14:textId="77777777" w:rsidR="00800A61" w:rsidRPr="00896F6F" w:rsidRDefault="00800A61" w:rsidP="00B72986">
            <w:pPr>
              <w:pStyle w:val="Tabletext"/>
            </w:pPr>
            <w:r w:rsidRPr="00896F6F">
              <w:t>openings</w:t>
            </w:r>
          </w:p>
        </w:tc>
        <w:tc>
          <w:tcPr>
            <w:tcW w:w="950" w:type="pct"/>
          </w:tcPr>
          <w:p w14:paraId="6E768336" w14:textId="77777777" w:rsidR="00800A61" w:rsidRPr="00896F6F" w:rsidRDefault="00800A61" w:rsidP="00B72986">
            <w:pPr>
              <w:pStyle w:val="Tabletext"/>
            </w:pPr>
            <w:r w:rsidRPr="00896F6F">
              <w:t>Not applicable</w:t>
            </w:r>
          </w:p>
        </w:tc>
        <w:tc>
          <w:tcPr>
            <w:tcW w:w="949" w:type="pct"/>
          </w:tcPr>
          <w:p w14:paraId="5394AF91" w14:textId="77777777" w:rsidR="00800A61" w:rsidRPr="00896F6F" w:rsidRDefault="00800A61" w:rsidP="00B72986">
            <w:pPr>
              <w:pStyle w:val="Tabletext"/>
            </w:pPr>
            <w:r w:rsidRPr="00896F6F">
              <w:t>No medians; Pedestrians can</w:t>
            </w:r>
          </w:p>
          <w:p w14:paraId="0A203EBF" w14:textId="77777777" w:rsidR="00800A61" w:rsidRPr="00896F6F" w:rsidRDefault="00800A61" w:rsidP="00B72986">
            <w:pPr>
              <w:pStyle w:val="Tabletext"/>
            </w:pPr>
            <w:r w:rsidRPr="00896F6F">
              <w:t>cross the</w:t>
            </w:r>
          </w:p>
          <w:p w14:paraId="1213DC89" w14:textId="77777777" w:rsidR="00800A61" w:rsidRPr="00896F6F" w:rsidRDefault="00800A61" w:rsidP="00B72986">
            <w:pPr>
              <w:pStyle w:val="Tabletext"/>
            </w:pPr>
            <w:r w:rsidRPr="00896F6F">
              <w:t>carriageway</w:t>
            </w:r>
          </w:p>
          <w:p w14:paraId="1F00419F" w14:textId="77777777" w:rsidR="00800A61" w:rsidRPr="00896F6F" w:rsidRDefault="00800A61" w:rsidP="00B72986">
            <w:pPr>
              <w:pStyle w:val="Tabletext"/>
            </w:pPr>
            <w:r w:rsidRPr="00896F6F">
              <w:t>anywhere</w:t>
            </w:r>
          </w:p>
        </w:tc>
        <w:tc>
          <w:tcPr>
            <w:tcW w:w="1232" w:type="pct"/>
          </w:tcPr>
          <w:p w14:paraId="67E24009" w14:textId="77777777" w:rsidR="00800A61" w:rsidRPr="00896F6F" w:rsidRDefault="00800A61" w:rsidP="00B72986">
            <w:pPr>
              <w:pStyle w:val="Tabletext"/>
            </w:pPr>
            <w:r w:rsidRPr="00896F6F">
              <w:t>Intermittent median with a width of at least 1 m; Pedestrian crossings with a median refuge at least every 50 m; Median openings for vehicular movement permitted</w:t>
            </w:r>
          </w:p>
        </w:tc>
        <w:tc>
          <w:tcPr>
            <w:tcW w:w="999" w:type="pct"/>
          </w:tcPr>
          <w:p w14:paraId="6DBF79DA" w14:textId="77777777" w:rsidR="00800A61" w:rsidRPr="00896F6F" w:rsidRDefault="00800A61" w:rsidP="00B72986">
            <w:pPr>
              <w:pStyle w:val="Tabletext"/>
            </w:pPr>
            <w:r w:rsidRPr="00896F6F">
              <w:t>Continuous</w:t>
            </w:r>
          </w:p>
          <w:p w14:paraId="65B27F34" w14:textId="77777777" w:rsidR="00800A61" w:rsidRPr="00896F6F" w:rsidRDefault="00800A61" w:rsidP="00B72986">
            <w:pPr>
              <w:pStyle w:val="Tabletext"/>
            </w:pPr>
            <w:r w:rsidRPr="00896F6F">
              <w:t>Median of at least 1 m width; Pedestrian</w:t>
            </w:r>
          </w:p>
          <w:p w14:paraId="0BC6D405" w14:textId="77777777" w:rsidR="00800A61" w:rsidRPr="00896F6F" w:rsidRDefault="00800A61" w:rsidP="00B72986">
            <w:pPr>
              <w:pStyle w:val="Tabletext"/>
            </w:pPr>
            <w:r w:rsidRPr="00896F6F">
              <w:t>crossing with a</w:t>
            </w:r>
          </w:p>
          <w:p w14:paraId="65C08D65" w14:textId="77777777" w:rsidR="00800A61" w:rsidRPr="00896F6F" w:rsidRDefault="00800A61" w:rsidP="00B72986">
            <w:pPr>
              <w:pStyle w:val="Tabletext"/>
            </w:pPr>
            <w:r w:rsidRPr="00896F6F">
              <w:t>median refuge at</w:t>
            </w:r>
          </w:p>
          <w:p w14:paraId="26FD43C5" w14:textId="77777777" w:rsidR="00800A61" w:rsidRPr="00896F6F" w:rsidRDefault="00800A61" w:rsidP="00B72986">
            <w:pPr>
              <w:pStyle w:val="Tabletext"/>
            </w:pPr>
            <w:r w:rsidRPr="00896F6F">
              <w:t>least every</w:t>
            </w:r>
          </w:p>
          <w:p w14:paraId="5D1D9B81" w14:textId="77777777" w:rsidR="00800A61" w:rsidRPr="00896F6F" w:rsidRDefault="00800A61" w:rsidP="00B72986">
            <w:pPr>
              <w:pStyle w:val="Tabletext"/>
            </w:pPr>
            <w:r w:rsidRPr="00896F6F">
              <w:t>200 m; No median</w:t>
            </w:r>
            <w:r>
              <w:t xml:space="preserve"> </w:t>
            </w:r>
            <w:r w:rsidRPr="00896F6F">
              <w:t>openings for motor vehicles</w:t>
            </w:r>
          </w:p>
          <w:p w14:paraId="53E393E1" w14:textId="77777777" w:rsidR="00800A61" w:rsidRPr="00896F6F" w:rsidRDefault="00800A61" w:rsidP="00B72986">
            <w:pPr>
              <w:pStyle w:val="Tabletext"/>
            </w:pPr>
            <w:r w:rsidRPr="00896F6F">
              <w:t>movement except</w:t>
            </w:r>
          </w:p>
          <w:p w14:paraId="5CAD0DC8" w14:textId="77777777" w:rsidR="00800A61" w:rsidRPr="00896F6F" w:rsidRDefault="00800A61" w:rsidP="00B72986">
            <w:pPr>
              <w:pStyle w:val="Tabletext"/>
            </w:pPr>
            <w:r w:rsidRPr="00896F6F">
              <w:t>at intersections</w:t>
            </w:r>
          </w:p>
        </w:tc>
      </w:tr>
      <w:tr w:rsidR="00800A61" w:rsidRPr="00896F6F" w14:paraId="4FCDF7A5" w14:textId="77777777" w:rsidTr="00B72986">
        <w:tc>
          <w:tcPr>
            <w:tcW w:w="870" w:type="pct"/>
          </w:tcPr>
          <w:p w14:paraId="0F6C0C23" w14:textId="77777777" w:rsidR="00800A61" w:rsidRPr="00896F6F" w:rsidRDefault="00800A61" w:rsidP="00B72986">
            <w:pPr>
              <w:pStyle w:val="Tabletext"/>
            </w:pPr>
            <w:r w:rsidRPr="00896F6F">
              <w:t>Intersections</w:t>
            </w:r>
          </w:p>
        </w:tc>
        <w:tc>
          <w:tcPr>
            <w:tcW w:w="950" w:type="pct"/>
          </w:tcPr>
          <w:p w14:paraId="3F1A5FE0" w14:textId="77777777" w:rsidR="00800A61" w:rsidRPr="00896F6F" w:rsidRDefault="00800A61" w:rsidP="00B72986">
            <w:pPr>
              <w:pStyle w:val="Tabletext"/>
            </w:pPr>
          </w:p>
        </w:tc>
        <w:tc>
          <w:tcPr>
            <w:tcW w:w="949" w:type="pct"/>
          </w:tcPr>
          <w:p w14:paraId="71DCE0F3" w14:textId="77777777" w:rsidR="00800A61" w:rsidRPr="00896F6F" w:rsidRDefault="00800A61" w:rsidP="00B72986">
            <w:pPr>
              <w:pStyle w:val="Tabletext"/>
            </w:pPr>
            <w:r w:rsidRPr="00896F6F">
              <w:t>Open at all intersections</w:t>
            </w:r>
          </w:p>
        </w:tc>
        <w:tc>
          <w:tcPr>
            <w:tcW w:w="1232" w:type="pct"/>
          </w:tcPr>
          <w:p w14:paraId="41AEBC8B" w14:textId="77777777" w:rsidR="00800A61" w:rsidRPr="00896F6F" w:rsidRDefault="00800A61" w:rsidP="00B72986">
            <w:pPr>
              <w:pStyle w:val="Tabletext"/>
            </w:pPr>
            <w:r w:rsidRPr="00896F6F">
              <w:t xml:space="preserve">When crossing an arterial, may be open and signalised; When crossing a major or minor collector, open and </w:t>
            </w:r>
            <w:proofErr w:type="spellStart"/>
            <w:r w:rsidRPr="00896F6F">
              <w:t>unsignalised</w:t>
            </w:r>
            <w:proofErr w:type="spellEnd"/>
          </w:p>
        </w:tc>
        <w:tc>
          <w:tcPr>
            <w:tcW w:w="999" w:type="pct"/>
          </w:tcPr>
          <w:p w14:paraId="6783FA7C" w14:textId="77777777" w:rsidR="00800A61" w:rsidRPr="00896F6F" w:rsidRDefault="00800A61" w:rsidP="00B72986">
            <w:pPr>
              <w:pStyle w:val="Tabletext"/>
            </w:pPr>
            <w:r w:rsidRPr="00896F6F">
              <w:t>When</w:t>
            </w:r>
          </w:p>
          <w:p w14:paraId="4D2D46A8" w14:textId="77777777" w:rsidR="00800A61" w:rsidRPr="00896F6F" w:rsidRDefault="00800A61" w:rsidP="00B72986">
            <w:pPr>
              <w:pStyle w:val="Tabletext"/>
            </w:pPr>
            <w:r w:rsidRPr="00896F6F">
              <w:t>crossing another</w:t>
            </w:r>
          </w:p>
          <w:p w14:paraId="5CFC6C2D" w14:textId="77777777" w:rsidR="00800A61" w:rsidRPr="00896F6F" w:rsidRDefault="00800A61" w:rsidP="00B72986">
            <w:pPr>
              <w:pStyle w:val="Tabletext"/>
            </w:pPr>
            <w:r w:rsidRPr="00896F6F">
              <w:t xml:space="preserve">arterial, open and signalised; When crossing a major collector, open and signalised; When crossing minor collectors and local streets, closed </w:t>
            </w:r>
            <w:r w:rsidRPr="00896F6F">
              <w:lastRenderedPageBreak/>
              <w:t>except for NMT users; At least one intersection every 500 m</w:t>
            </w:r>
          </w:p>
          <w:p w14:paraId="5ACEEFAF" w14:textId="77777777" w:rsidR="00800A61" w:rsidRPr="00896F6F" w:rsidRDefault="00800A61" w:rsidP="00B72986">
            <w:pPr>
              <w:pStyle w:val="Tabletext"/>
            </w:pPr>
          </w:p>
        </w:tc>
      </w:tr>
      <w:tr w:rsidR="00800A61" w:rsidRPr="00896F6F" w14:paraId="0F04266B" w14:textId="77777777" w:rsidTr="00B72986">
        <w:tc>
          <w:tcPr>
            <w:tcW w:w="870" w:type="pct"/>
          </w:tcPr>
          <w:p w14:paraId="2BA26470" w14:textId="77777777" w:rsidR="00800A61" w:rsidRPr="00896F6F" w:rsidRDefault="00800A61" w:rsidP="00B72986">
            <w:pPr>
              <w:pStyle w:val="Tabletext"/>
            </w:pPr>
            <w:r w:rsidRPr="00896F6F">
              <w:lastRenderedPageBreak/>
              <w:t>At-grade pedestrian crossings at intersections</w:t>
            </w:r>
          </w:p>
        </w:tc>
        <w:tc>
          <w:tcPr>
            <w:tcW w:w="950" w:type="pct"/>
          </w:tcPr>
          <w:p w14:paraId="0FF3DAF5" w14:textId="77777777" w:rsidR="00800A61" w:rsidRPr="00896F6F" w:rsidRDefault="00800A61" w:rsidP="00B72986">
            <w:pPr>
              <w:pStyle w:val="Tabletext"/>
            </w:pPr>
            <w:r w:rsidRPr="00896F6F">
              <w:t>Raised speed table</w:t>
            </w:r>
          </w:p>
        </w:tc>
        <w:tc>
          <w:tcPr>
            <w:tcW w:w="949" w:type="pct"/>
          </w:tcPr>
          <w:p w14:paraId="19239A4F" w14:textId="77777777" w:rsidR="00800A61" w:rsidRPr="00896F6F" w:rsidRDefault="00800A61" w:rsidP="00B72986">
            <w:pPr>
              <w:pStyle w:val="Tabletext"/>
            </w:pPr>
            <w:r w:rsidRPr="00896F6F">
              <w:t>Raised speed table</w:t>
            </w:r>
          </w:p>
        </w:tc>
        <w:tc>
          <w:tcPr>
            <w:tcW w:w="1232" w:type="pct"/>
          </w:tcPr>
          <w:p w14:paraId="05E3901C" w14:textId="77777777" w:rsidR="00800A61" w:rsidRPr="00896F6F" w:rsidRDefault="00800A61" w:rsidP="00B72986">
            <w:pPr>
              <w:pStyle w:val="Tabletext"/>
            </w:pPr>
            <w:r w:rsidRPr="00896F6F">
              <w:t xml:space="preserve">Not raised when signalized; </w:t>
            </w:r>
          </w:p>
          <w:p w14:paraId="061C399F" w14:textId="77777777" w:rsidR="00800A61" w:rsidRPr="00896F6F" w:rsidRDefault="00800A61" w:rsidP="00B72986">
            <w:pPr>
              <w:pStyle w:val="Tabletext"/>
            </w:pPr>
            <w:r w:rsidRPr="00896F6F">
              <w:t>Otherwise, raised speed table</w:t>
            </w:r>
          </w:p>
        </w:tc>
        <w:tc>
          <w:tcPr>
            <w:tcW w:w="999" w:type="pct"/>
          </w:tcPr>
          <w:p w14:paraId="03DB4C20" w14:textId="77777777" w:rsidR="00800A61" w:rsidRPr="00896F6F" w:rsidRDefault="00800A61" w:rsidP="00B72986">
            <w:pPr>
              <w:pStyle w:val="Tabletext"/>
            </w:pPr>
            <w:r w:rsidRPr="00896F6F">
              <w:t>Not raised</w:t>
            </w:r>
          </w:p>
        </w:tc>
      </w:tr>
      <w:tr w:rsidR="00800A61" w:rsidRPr="00896F6F" w14:paraId="4D448EFF" w14:textId="77777777" w:rsidTr="00B72986">
        <w:tc>
          <w:tcPr>
            <w:tcW w:w="870" w:type="pct"/>
          </w:tcPr>
          <w:p w14:paraId="2D429297" w14:textId="77777777" w:rsidR="00800A61" w:rsidRPr="00896F6F" w:rsidRDefault="00800A61" w:rsidP="00B72986">
            <w:pPr>
              <w:pStyle w:val="Tabletext"/>
            </w:pPr>
            <w:r w:rsidRPr="00896F6F">
              <w:t>Typical ROW</w:t>
            </w:r>
          </w:p>
        </w:tc>
        <w:tc>
          <w:tcPr>
            <w:tcW w:w="950" w:type="pct"/>
          </w:tcPr>
          <w:p w14:paraId="6DFE7BC7" w14:textId="77777777" w:rsidR="00800A61" w:rsidRPr="00896F6F" w:rsidRDefault="00800A61" w:rsidP="00B72986">
            <w:pPr>
              <w:pStyle w:val="Tabletext"/>
            </w:pPr>
            <w:r w:rsidRPr="00896F6F">
              <w:t>&lt;12 m</w:t>
            </w:r>
          </w:p>
        </w:tc>
        <w:tc>
          <w:tcPr>
            <w:tcW w:w="949" w:type="pct"/>
          </w:tcPr>
          <w:p w14:paraId="56DF61BA" w14:textId="77777777" w:rsidR="00800A61" w:rsidRPr="00896F6F" w:rsidRDefault="00800A61" w:rsidP="00B72986">
            <w:pPr>
              <w:pStyle w:val="Tabletext"/>
            </w:pPr>
            <w:r w:rsidRPr="00896F6F">
              <w:t>12-18 m</w:t>
            </w:r>
          </w:p>
        </w:tc>
        <w:tc>
          <w:tcPr>
            <w:tcW w:w="1232" w:type="pct"/>
          </w:tcPr>
          <w:p w14:paraId="52B4EDB8" w14:textId="77777777" w:rsidR="00800A61" w:rsidRPr="00896F6F" w:rsidRDefault="00800A61" w:rsidP="00B72986">
            <w:pPr>
              <w:pStyle w:val="Tabletext"/>
            </w:pPr>
            <w:r w:rsidRPr="00896F6F">
              <w:t>18-24 m</w:t>
            </w:r>
          </w:p>
        </w:tc>
        <w:tc>
          <w:tcPr>
            <w:tcW w:w="999" w:type="pct"/>
          </w:tcPr>
          <w:p w14:paraId="02107AD3" w14:textId="77777777" w:rsidR="00800A61" w:rsidRPr="00896F6F" w:rsidRDefault="00800A61" w:rsidP="00B72986">
            <w:pPr>
              <w:pStyle w:val="Tabletext"/>
            </w:pPr>
            <w:r w:rsidRPr="00896F6F">
              <w:t>&gt;24 m</w:t>
            </w:r>
          </w:p>
        </w:tc>
      </w:tr>
      <w:tr w:rsidR="00800A61" w:rsidRPr="00896F6F" w14:paraId="6C0D7A44" w14:textId="77777777" w:rsidTr="00B72986">
        <w:tc>
          <w:tcPr>
            <w:tcW w:w="870" w:type="pct"/>
          </w:tcPr>
          <w:p w14:paraId="5A2EBC22" w14:textId="77777777" w:rsidR="00800A61" w:rsidRPr="00896F6F" w:rsidRDefault="00800A61" w:rsidP="00B72986">
            <w:pPr>
              <w:pStyle w:val="Tabletext"/>
            </w:pPr>
            <w:r w:rsidRPr="00896F6F">
              <w:t>Speed Reduction measures</w:t>
            </w:r>
          </w:p>
        </w:tc>
        <w:tc>
          <w:tcPr>
            <w:tcW w:w="950" w:type="pct"/>
          </w:tcPr>
          <w:p w14:paraId="4DF4399F" w14:textId="77777777" w:rsidR="00800A61" w:rsidRPr="00896F6F" w:rsidRDefault="00800A61" w:rsidP="00B72986">
            <w:pPr>
              <w:pStyle w:val="Tabletext"/>
            </w:pPr>
            <w:r w:rsidRPr="00896F6F">
              <w:t>Speed bumps, chicanes, etc.</w:t>
            </w:r>
          </w:p>
        </w:tc>
        <w:tc>
          <w:tcPr>
            <w:tcW w:w="949" w:type="pct"/>
          </w:tcPr>
          <w:p w14:paraId="2D53575D" w14:textId="77777777" w:rsidR="00800A61" w:rsidRPr="00896F6F" w:rsidRDefault="00800A61" w:rsidP="00B72986">
            <w:pPr>
              <w:pStyle w:val="Tabletext"/>
            </w:pPr>
            <w:r w:rsidRPr="00896F6F">
              <w:t>Speed bumps, speed table crossings</w:t>
            </w:r>
          </w:p>
        </w:tc>
        <w:tc>
          <w:tcPr>
            <w:tcW w:w="1232" w:type="pct"/>
          </w:tcPr>
          <w:p w14:paraId="714B5303" w14:textId="77777777" w:rsidR="00800A61" w:rsidRPr="00896F6F" w:rsidRDefault="00800A61" w:rsidP="00B72986">
            <w:pPr>
              <w:pStyle w:val="Tabletext"/>
            </w:pPr>
            <w:r w:rsidRPr="00896F6F">
              <w:t>Speed table crossings</w:t>
            </w:r>
          </w:p>
        </w:tc>
        <w:tc>
          <w:tcPr>
            <w:tcW w:w="999" w:type="pct"/>
          </w:tcPr>
          <w:p w14:paraId="71BC9E30" w14:textId="77777777" w:rsidR="00800A61" w:rsidRPr="00896F6F" w:rsidRDefault="00800A61" w:rsidP="00B72986">
            <w:pPr>
              <w:pStyle w:val="Tabletext"/>
            </w:pPr>
            <w:r w:rsidRPr="00896F6F">
              <w:t>Speed table crossings; traffic signals</w:t>
            </w:r>
          </w:p>
        </w:tc>
      </w:tr>
      <w:tr w:rsidR="00800A61" w:rsidRPr="00896F6F" w14:paraId="13D0F4FE" w14:textId="77777777" w:rsidTr="00B72986">
        <w:tc>
          <w:tcPr>
            <w:tcW w:w="870" w:type="pct"/>
          </w:tcPr>
          <w:p w14:paraId="5C187305" w14:textId="77777777" w:rsidR="00800A61" w:rsidRPr="00896F6F" w:rsidRDefault="00800A61" w:rsidP="00B72986">
            <w:pPr>
              <w:pStyle w:val="Tabletext"/>
            </w:pPr>
            <w:r w:rsidRPr="00896F6F">
              <w:t>Vehicle type</w:t>
            </w:r>
          </w:p>
        </w:tc>
        <w:tc>
          <w:tcPr>
            <w:tcW w:w="950" w:type="pct"/>
          </w:tcPr>
          <w:p w14:paraId="31016B72" w14:textId="77777777" w:rsidR="00800A61" w:rsidRPr="00896F6F" w:rsidRDefault="00800A61" w:rsidP="00B72986">
            <w:pPr>
              <w:pStyle w:val="Tabletext"/>
            </w:pPr>
            <w:r w:rsidRPr="00896F6F">
              <w:t>No heavy commercial vehicles</w:t>
            </w:r>
          </w:p>
        </w:tc>
        <w:tc>
          <w:tcPr>
            <w:tcW w:w="949" w:type="pct"/>
          </w:tcPr>
          <w:p w14:paraId="1E83CC15" w14:textId="77777777" w:rsidR="00800A61" w:rsidRPr="00896F6F" w:rsidRDefault="00800A61" w:rsidP="00B72986">
            <w:pPr>
              <w:pStyle w:val="Tabletext"/>
            </w:pPr>
            <w:r w:rsidRPr="00896F6F">
              <w:t>No restrictions except during certain times of the day</w:t>
            </w:r>
          </w:p>
        </w:tc>
        <w:tc>
          <w:tcPr>
            <w:tcW w:w="1232" w:type="pct"/>
          </w:tcPr>
          <w:p w14:paraId="41390909" w14:textId="77777777" w:rsidR="00800A61" w:rsidRPr="00896F6F" w:rsidRDefault="00800A61" w:rsidP="00B72986">
            <w:pPr>
              <w:pStyle w:val="Tabletext"/>
            </w:pPr>
            <w:r w:rsidRPr="00896F6F">
              <w:t>No restrictions except during certain times of the day</w:t>
            </w:r>
          </w:p>
        </w:tc>
        <w:tc>
          <w:tcPr>
            <w:tcW w:w="999" w:type="pct"/>
          </w:tcPr>
          <w:p w14:paraId="441C7C14" w14:textId="77777777" w:rsidR="00800A61" w:rsidRPr="00896F6F" w:rsidRDefault="00800A61" w:rsidP="00B72986">
            <w:pPr>
              <w:pStyle w:val="Tabletext"/>
            </w:pPr>
            <w:r w:rsidRPr="00896F6F">
              <w:t>No restrictions except during certain times of the day</w:t>
            </w:r>
          </w:p>
        </w:tc>
      </w:tr>
      <w:tr w:rsidR="00800A61" w:rsidRPr="00896F6F" w14:paraId="4D9578A0" w14:textId="77777777" w:rsidTr="00B72986">
        <w:tc>
          <w:tcPr>
            <w:tcW w:w="870" w:type="pct"/>
          </w:tcPr>
          <w:p w14:paraId="52537310" w14:textId="77777777" w:rsidR="00800A61" w:rsidRPr="00896F6F" w:rsidRDefault="00800A61" w:rsidP="00B72986">
            <w:pPr>
              <w:pStyle w:val="Tabletext"/>
            </w:pPr>
            <w:r w:rsidRPr="00896F6F">
              <w:t>On-street parking</w:t>
            </w:r>
          </w:p>
        </w:tc>
        <w:tc>
          <w:tcPr>
            <w:tcW w:w="950" w:type="pct"/>
          </w:tcPr>
          <w:p w14:paraId="66720EE4" w14:textId="77777777" w:rsidR="00800A61" w:rsidRPr="00896F6F" w:rsidRDefault="00800A61" w:rsidP="00B72986">
            <w:pPr>
              <w:pStyle w:val="Tabletext"/>
            </w:pPr>
            <w:r w:rsidRPr="00896F6F">
              <w:t>If space permits</w:t>
            </w:r>
          </w:p>
        </w:tc>
        <w:tc>
          <w:tcPr>
            <w:tcW w:w="949" w:type="pct"/>
          </w:tcPr>
          <w:p w14:paraId="40B2381D" w14:textId="77777777" w:rsidR="00800A61" w:rsidRPr="00896F6F" w:rsidRDefault="00800A61" w:rsidP="00B72986">
            <w:pPr>
              <w:pStyle w:val="Tabletext"/>
            </w:pPr>
            <w:r w:rsidRPr="00896F6F">
              <w:t>If space permits</w:t>
            </w:r>
          </w:p>
        </w:tc>
        <w:tc>
          <w:tcPr>
            <w:tcW w:w="1232" w:type="pct"/>
          </w:tcPr>
          <w:p w14:paraId="101F90F9" w14:textId="77777777" w:rsidR="00800A61" w:rsidRPr="00896F6F" w:rsidRDefault="00800A61" w:rsidP="00B72986">
            <w:pPr>
              <w:pStyle w:val="Tabletext"/>
            </w:pPr>
            <w:r w:rsidRPr="00896F6F">
              <w:t>If space permits</w:t>
            </w:r>
          </w:p>
        </w:tc>
        <w:tc>
          <w:tcPr>
            <w:tcW w:w="999" w:type="pct"/>
          </w:tcPr>
          <w:p w14:paraId="26094B2B" w14:textId="77777777" w:rsidR="00800A61" w:rsidRPr="00896F6F" w:rsidRDefault="00800A61" w:rsidP="00B72986">
            <w:pPr>
              <w:pStyle w:val="Tabletext"/>
            </w:pPr>
            <w:r w:rsidRPr="00896F6F">
              <w:t>Only from service lane, if one exists; short-term drop-offs and pick-ups may be allowed</w:t>
            </w:r>
          </w:p>
        </w:tc>
      </w:tr>
    </w:tbl>
    <w:p w14:paraId="7A418151" w14:textId="77777777" w:rsidR="00800A61" w:rsidRPr="00896F6F" w:rsidRDefault="00800A61" w:rsidP="00800A61"/>
    <w:p w14:paraId="3E0AEF8B" w14:textId="77777777" w:rsidR="00800A61" w:rsidRPr="00896F6F" w:rsidRDefault="00800A61" w:rsidP="006B41F2">
      <w:pPr>
        <w:pStyle w:val="Policyhead"/>
        <w:numPr>
          <w:ilvl w:val="0"/>
          <w:numId w:val="19"/>
        </w:numPr>
        <w:ind w:left="360"/>
      </w:pPr>
      <w:bookmarkStart w:id="130" w:name="_Ref483583042"/>
      <w:bookmarkStart w:id="131" w:name="_Toc525113191"/>
      <w:r w:rsidRPr="00896F6F">
        <w:t>Footpaths</w:t>
      </w:r>
      <w:bookmarkEnd w:id="130"/>
      <w:bookmarkEnd w:id="131"/>
    </w:p>
    <w:p w14:paraId="44948FB9" w14:textId="77777777" w:rsidR="00800A61" w:rsidRPr="00896F6F" w:rsidRDefault="00800A61" w:rsidP="006B41F2">
      <w:pPr>
        <w:pStyle w:val="Policytext1"/>
        <w:numPr>
          <w:ilvl w:val="1"/>
          <w:numId w:val="9"/>
        </w:numPr>
        <w:ind w:left="720" w:hanging="720"/>
      </w:pPr>
      <w:r w:rsidRPr="00896F6F">
        <w:t>Footpaths must meet the following standards:</w:t>
      </w:r>
    </w:p>
    <w:p w14:paraId="125A7916" w14:textId="18564969" w:rsidR="00800A61" w:rsidRPr="00896F6F" w:rsidRDefault="00800A61" w:rsidP="006B41F2">
      <w:pPr>
        <w:pStyle w:val="Policytext2"/>
        <w:numPr>
          <w:ilvl w:val="2"/>
          <w:numId w:val="9"/>
        </w:numPr>
        <w:ind w:left="1440" w:hanging="720"/>
      </w:pPr>
      <w:r w:rsidRPr="00896F6F">
        <w:t xml:space="preserve">Footpaths will include space for business frontage (frontage zone), space for pedestrian mobility that is at least 2 m wide in residential areas and 2.5 m in commercial areas (pedestrian zone), and space for landscaping and street furniture (furniture zone) </w:t>
      </w:r>
    </w:p>
    <w:p w14:paraId="33E40268" w14:textId="77777777" w:rsidR="00800A61" w:rsidRPr="00896F6F" w:rsidRDefault="00800A61" w:rsidP="006B41F2">
      <w:pPr>
        <w:pStyle w:val="Policytext2"/>
        <w:numPr>
          <w:ilvl w:val="2"/>
          <w:numId w:val="9"/>
        </w:numPr>
        <w:ind w:left="1440" w:hanging="720"/>
      </w:pPr>
      <w:r w:rsidRPr="00896F6F">
        <w:t xml:space="preserve">The height of footpaths will not exceed 150 mm above the carriageway. </w:t>
      </w:r>
    </w:p>
    <w:p w14:paraId="4D3D1936" w14:textId="77777777" w:rsidR="00800A61" w:rsidRPr="00896F6F" w:rsidRDefault="00800A61" w:rsidP="006B41F2">
      <w:pPr>
        <w:pStyle w:val="Policytext2"/>
        <w:numPr>
          <w:ilvl w:val="2"/>
          <w:numId w:val="9"/>
        </w:numPr>
        <w:ind w:left="1440" w:hanging="720"/>
      </w:pPr>
      <w:r w:rsidRPr="00896F6F">
        <w:t>Footpath surfaces will be evenly paved and smooth for all users, including those on wheelchairs.</w:t>
      </w:r>
    </w:p>
    <w:p w14:paraId="3BFD06C2" w14:textId="77777777" w:rsidR="00800A61" w:rsidRPr="00896F6F" w:rsidRDefault="00800A61" w:rsidP="006B41F2">
      <w:pPr>
        <w:pStyle w:val="Policytext1"/>
        <w:numPr>
          <w:ilvl w:val="1"/>
          <w:numId w:val="9"/>
        </w:numPr>
        <w:ind w:left="720" w:hanging="720"/>
      </w:pPr>
      <w:r>
        <w:t>Effort should be made</w:t>
      </w:r>
      <w:r w:rsidRPr="00896F6F">
        <w:t xml:space="preserve"> to free up space for footpaths such as removing or realigning vehicle parking, junction boxes, and other obstructions and will prioritise street amenities such as street furniture, landscaping, and trees over vehicle parking.</w:t>
      </w:r>
    </w:p>
    <w:p w14:paraId="74F907A8" w14:textId="02A38352" w:rsidR="00800A61" w:rsidRPr="00896F6F" w:rsidRDefault="00800A61" w:rsidP="006B41F2">
      <w:pPr>
        <w:pStyle w:val="Policytext1"/>
        <w:numPr>
          <w:ilvl w:val="1"/>
          <w:numId w:val="9"/>
        </w:numPr>
        <w:ind w:left="720" w:hanging="720"/>
      </w:pPr>
      <w:r w:rsidRPr="00896F6F">
        <w:t xml:space="preserve">Footpaths should be continuous even at property entrances for uninterrupted pedestrian movement. The height of the footpath should remain the same. To provide access to private properties, vehicle ramps should be provided in the furniture </w:t>
      </w:r>
      <w:r w:rsidR="007F5809">
        <w:t>zone with a 1:6 gradient.</w:t>
      </w:r>
      <w:r w:rsidRPr="00896F6F">
        <w:t xml:space="preserve"> Bollards should be installed to prevent vehicles from parking on the footpaths, leaving a clear width of at least 1.2 m for wheelchair access</w:t>
      </w:r>
      <w:r>
        <w:t xml:space="preserve"> between at least one set of bollards</w:t>
      </w:r>
      <w:r w:rsidRPr="00896F6F">
        <w:t xml:space="preserve">. </w:t>
      </w:r>
    </w:p>
    <w:p w14:paraId="23300A7F" w14:textId="597FA305" w:rsidR="00800A61" w:rsidRPr="00896F6F" w:rsidRDefault="00800A61" w:rsidP="00800A61">
      <w:pPr>
        <w:pStyle w:val="Policytext1"/>
        <w:numPr>
          <w:ilvl w:val="1"/>
          <w:numId w:val="9"/>
        </w:numPr>
        <w:ind w:left="720" w:hanging="720"/>
      </w:pPr>
      <w:r>
        <w:t>All</w:t>
      </w:r>
      <w:r w:rsidRPr="00896F6F">
        <w:t xml:space="preserve"> rail overbridges and rail underpasses</w:t>
      </w:r>
      <w:r>
        <w:t xml:space="preserve"> should</w:t>
      </w:r>
      <w:r w:rsidRPr="00896F6F">
        <w:t xml:space="preserve"> have pedestrian access. </w:t>
      </w:r>
      <w:r>
        <w:t>P</w:t>
      </w:r>
      <w:r w:rsidRPr="00896F6F">
        <w:t>edestrian</w:t>
      </w:r>
      <w:r>
        <w:t xml:space="preserve"> and bicycle</w:t>
      </w:r>
      <w:r w:rsidRPr="00896F6F">
        <w:t xml:space="preserve"> access on flyovers </w:t>
      </w:r>
      <w:r>
        <w:t xml:space="preserve">should be included </w:t>
      </w:r>
      <w:r w:rsidRPr="00896F6F">
        <w:t xml:space="preserve">where such access provides a mobility or safety benefit for </w:t>
      </w:r>
      <w:r>
        <w:t>NMT users</w:t>
      </w:r>
      <w:r w:rsidRPr="00896F6F">
        <w:t>.</w:t>
      </w:r>
    </w:p>
    <w:p w14:paraId="050F7212" w14:textId="77777777" w:rsidR="00800A61" w:rsidRPr="00896F6F" w:rsidRDefault="00800A61" w:rsidP="006B41F2">
      <w:pPr>
        <w:pStyle w:val="Policyhead"/>
        <w:numPr>
          <w:ilvl w:val="0"/>
          <w:numId w:val="9"/>
        </w:numPr>
        <w:ind w:left="360"/>
      </w:pPr>
      <w:bookmarkStart w:id="132" w:name="_zhpmk294l7k5" w:colFirst="0" w:colLast="0"/>
      <w:bookmarkStart w:id="133" w:name="_gpfuuw6vboxt" w:colFirst="0" w:colLast="0"/>
      <w:bookmarkStart w:id="134" w:name="_em1prqtfkp7j" w:colFirst="0" w:colLast="0"/>
      <w:bookmarkStart w:id="135" w:name="_Toc525113192"/>
      <w:bookmarkEnd w:id="132"/>
      <w:bookmarkEnd w:id="133"/>
      <w:bookmarkEnd w:id="134"/>
      <w:r w:rsidRPr="00896F6F">
        <w:lastRenderedPageBreak/>
        <w:t>Pedestrian zones</w:t>
      </w:r>
      <w:bookmarkEnd w:id="135"/>
    </w:p>
    <w:p w14:paraId="3C97DE67" w14:textId="77777777" w:rsidR="00800A61" w:rsidRPr="00896F6F" w:rsidRDefault="00800A61" w:rsidP="006B41F2">
      <w:pPr>
        <w:pStyle w:val="Policytext1"/>
        <w:numPr>
          <w:ilvl w:val="1"/>
          <w:numId w:val="9"/>
        </w:numPr>
        <w:ind w:left="720" w:hanging="720"/>
      </w:pPr>
      <w:r w:rsidRPr="00896F6F">
        <w:t>NMT-only streets will incorporate plazas, seating, trees and structures for shade, space for organised street vending, cycle parking, and access for emergency response vehicles.</w:t>
      </w:r>
    </w:p>
    <w:p w14:paraId="293BE24C" w14:textId="77777777" w:rsidR="00800A61" w:rsidRPr="00896F6F" w:rsidRDefault="00800A61" w:rsidP="006B41F2">
      <w:pPr>
        <w:pStyle w:val="Policytext1"/>
        <w:numPr>
          <w:ilvl w:val="1"/>
          <w:numId w:val="9"/>
        </w:numPr>
        <w:ind w:left="720" w:hanging="720"/>
      </w:pPr>
      <w:r w:rsidRPr="00896F6F">
        <w:t xml:space="preserve">All motor vehicle traffic will be prohibited, using barriers and enforcement to prevent their entry and encroachment of NMT space. Commercial deliveries to properties on such streets will be accomplished outside of normal business hours. </w:t>
      </w:r>
    </w:p>
    <w:p w14:paraId="79653F05" w14:textId="77777777" w:rsidR="00800A61" w:rsidRPr="00896F6F" w:rsidRDefault="00800A61" w:rsidP="006B41F2">
      <w:pPr>
        <w:pStyle w:val="Policyhead"/>
        <w:numPr>
          <w:ilvl w:val="0"/>
          <w:numId w:val="9"/>
        </w:numPr>
        <w:ind w:left="360"/>
      </w:pPr>
      <w:bookmarkStart w:id="136" w:name="_Ref470565927"/>
      <w:bookmarkStart w:id="137" w:name="_Toc525113193"/>
      <w:r w:rsidRPr="00896F6F">
        <w:t>Pedestrian crossings: Midblock</w:t>
      </w:r>
      <w:bookmarkEnd w:id="136"/>
      <w:bookmarkEnd w:id="137"/>
    </w:p>
    <w:p w14:paraId="3C2F929C" w14:textId="77777777" w:rsidR="00800A61" w:rsidRPr="00896F6F" w:rsidRDefault="00800A61" w:rsidP="006B41F2">
      <w:pPr>
        <w:pStyle w:val="Policytext1"/>
        <w:numPr>
          <w:ilvl w:val="1"/>
          <w:numId w:val="9"/>
        </w:numPr>
        <w:ind w:left="720" w:hanging="720"/>
      </w:pPr>
      <w:r w:rsidRPr="00896F6F">
        <w:t>All pedestrian crossings will be at grade.</w:t>
      </w:r>
      <w:r>
        <w:t xml:space="preserve"> S</w:t>
      </w:r>
      <w:r w:rsidRPr="00896F6F">
        <w:t xml:space="preserve">kywalks </w:t>
      </w:r>
      <w:r>
        <w:t xml:space="preserve">may be created </w:t>
      </w:r>
      <w:r w:rsidRPr="00896F6F">
        <w:t>to link railway or public transport terminal to pedestrian bridges with key destinations provided that doing so does not compromise at-grade NMT infrastructure.</w:t>
      </w:r>
    </w:p>
    <w:p w14:paraId="081844D0" w14:textId="77777777" w:rsidR="00800A61" w:rsidRPr="00896F6F" w:rsidRDefault="00800A61" w:rsidP="006B41F2">
      <w:pPr>
        <w:pStyle w:val="Policytext1"/>
        <w:numPr>
          <w:ilvl w:val="1"/>
          <w:numId w:val="9"/>
        </w:numPr>
        <w:ind w:left="720" w:hanging="720"/>
      </w:pPr>
      <w:r w:rsidRPr="00896F6F">
        <w:t xml:space="preserve">Pedestrian crossings will be provided </w:t>
      </w:r>
      <w:r>
        <w:t xml:space="preserve">at frequent intervals in order to improve safety and enhance compliance with designated crossings. Crossing locations and spacing will be informed by local conditions. In general crossings will be designed according to </w:t>
      </w:r>
      <w:r w:rsidRPr="00896F6F">
        <w:t>street typology</w:t>
      </w:r>
      <w:r>
        <w:t xml:space="preserve"> as follows</w:t>
      </w:r>
      <w:r w:rsidRPr="00896F6F">
        <w:t>:</w:t>
      </w:r>
    </w:p>
    <w:p w14:paraId="2614A6BF" w14:textId="77777777" w:rsidR="00800A61" w:rsidRPr="00896F6F" w:rsidRDefault="00800A61" w:rsidP="006B41F2">
      <w:pPr>
        <w:pStyle w:val="Policytext2"/>
        <w:numPr>
          <w:ilvl w:val="2"/>
          <w:numId w:val="9"/>
        </w:numPr>
        <w:ind w:left="1440" w:hanging="720"/>
      </w:pPr>
      <w:r w:rsidRPr="00896F6F">
        <w:t>On local streets, pedestrians will be allowed to use the entire right-of-way, in the case of a shared space, or, if a footpath is provided, pedestrians will have the right to cross the street at any location.</w:t>
      </w:r>
    </w:p>
    <w:p w14:paraId="014DB64C" w14:textId="77777777" w:rsidR="00800A61" w:rsidRPr="00896F6F" w:rsidRDefault="00800A61" w:rsidP="006B41F2">
      <w:pPr>
        <w:pStyle w:val="Policytext2"/>
        <w:numPr>
          <w:ilvl w:val="2"/>
          <w:numId w:val="9"/>
        </w:numPr>
        <w:ind w:left="1440" w:hanging="720"/>
      </w:pPr>
      <w:r w:rsidRPr="00896F6F">
        <w:t>On minor collector streets, pedestrians will have the right to cross the street at any location.</w:t>
      </w:r>
    </w:p>
    <w:p w14:paraId="1D572AF9" w14:textId="77777777" w:rsidR="00800A61" w:rsidRPr="00896F6F" w:rsidRDefault="00800A61" w:rsidP="006B41F2">
      <w:pPr>
        <w:pStyle w:val="Policytext2"/>
        <w:numPr>
          <w:ilvl w:val="2"/>
          <w:numId w:val="9"/>
        </w:numPr>
        <w:ind w:left="1440" w:hanging="720"/>
      </w:pPr>
      <w:r w:rsidRPr="00896F6F">
        <w:t xml:space="preserve">On major collector streets, medians will include pedestrian refuges providing safe street-level crossing opportunities at least once every 50 m. Formal marked crossings will be installed at least once every </w:t>
      </w:r>
      <w:r>
        <w:t>100</w:t>
      </w:r>
      <w:r w:rsidRPr="00896F6F">
        <w:t xml:space="preserve"> m.</w:t>
      </w:r>
    </w:p>
    <w:p w14:paraId="34185020" w14:textId="77777777" w:rsidR="00800A61" w:rsidRPr="00896F6F" w:rsidRDefault="00800A61" w:rsidP="006B41F2">
      <w:pPr>
        <w:pStyle w:val="Policytext2"/>
        <w:numPr>
          <w:ilvl w:val="2"/>
          <w:numId w:val="9"/>
        </w:numPr>
        <w:ind w:left="1440" w:hanging="720"/>
      </w:pPr>
      <w:r w:rsidRPr="00896F6F">
        <w:t>On arterial streets, at-grade pedestrian crossings with median refuges will be provided at least once every</w:t>
      </w:r>
      <w:r>
        <w:t xml:space="preserve"> 100 m and every</w:t>
      </w:r>
      <w:r w:rsidRPr="00896F6F">
        <w:t xml:space="preserve"> 200</w:t>
      </w:r>
      <w:r>
        <w:t>-400</w:t>
      </w:r>
      <w:r w:rsidRPr="00896F6F">
        <w:t xml:space="preserve"> m</w:t>
      </w:r>
      <w:r>
        <w:t xml:space="preserve"> for rapid transit corridors.</w:t>
      </w:r>
    </w:p>
    <w:p w14:paraId="23C6AD69" w14:textId="77777777" w:rsidR="00800A61" w:rsidRPr="00896F6F" w:rsidRDefault="00800A61" w:rsidP="006B41F2">
      <w:pPr>
        <w:pStyle w:val="Policytext1"/>
        <w:numPr>
          <w:ilvl w:val="1"/>
          <w:numId w:val="9"/>
        </w:numPr>
        <w:ind w:left="720" w:hanging="720"/>
      </w:pPr>
      <w:bookmarkStart w:id="138" w:name="_Ref470568049"/>
      <w:r w:rsidRPr="00896F6F">
        <w:t>At un-signalised crossings, raised speed table crossings will be constructed. Speed table crosswalks will have a minimum width of 3 m, be elevated to the level of the adjacent footpath, and have ramps for motor vehicles with a slope of 1:</w:t>
      </w:r>
      <w:r>
        <w:t>6</w:t>
      </w:r>
      <w:r w:rsidRPr="00896F6F">
        <w:t xml:space="preserve"> (</w:t>
      </w:r>
      <w:r w:rsidRPr="00896F6F">
        <w:fldChar w:fldCharType="begin"/>
      </w:r>
      <w:r w:rsidRPr="00896F6F">
        <w:instrText xml:space="preserve"> REF _Ref469487308 \h </w:instrText>
      </w:r>
      <w:r w:rsidRPr="00896F6F">
        <w:fldChar w:fldCharType="separate"/>
      </w:r>
      <w:r w:rsidRPr="00896F6F">
        <w:t xml:space="preserve">Figure </w:t>
      </w:r>
      <w:r>
        <w:rPr>
          <w:noProof/>
        </w:rPr>
        <w:t>7</w:t>
      </w:r>
      <w:r w:rsidRPr="00896F6F">
        <w:fldChar w:fldCharType="end"/>
      </w:r>
      <w:r w:rsidRPr="00896F6F">
        <w:t>).</w:t>
      </w:r>
      <w:bookmarkEnd w:id="138"/>
    </w:p>
    <w:p w14:paraId="17F765CF" w14:textId="77777777" w:rsidR="00800A61" w:rsidRPr="00896F6F" w:rsidRDefault="00800A61" w:rsidP="006B41F2">
      <w:pPr>
        <w:pStyle w:val="Policytext1"/>
        <w:numPr>
          <w:ilvl w:val="1"/>
          <w:numId w:val="9"/>
        </w:numPr>
        <w:ind w:left="720" w:hanging="720"/>
      </w:pPr>
      <w:r w:rsidRPr="00896F6F">
        <w:t xml:space="preserve">Medians will be designed as surmountable pedestrian refuge islands to enhance pedestrian safety. Streets with 4 or more traffic lanes will have medians with pedestrian refuges of minimum 2 m depth and 3 m width, with bollards located in the refuge space to enhance pedestrian safety. </w:t>
      </w:r>
    </w:p>
    <w:p w14:paraId="09096B11" w14:textId="77777777" w:rsidR="00800A61" w:rsidRPr="00896F6F" w:rsidRDefault="00800A61" w:rsidP="006B41F2">
      <w:pPr>
        <w:pStyle w:val="Policytext1"/>
        <w:numPr>
          <w:ilvl w:val="1"/>
          <w:numId w:val="9"/>
        </w:numPr>
        <w:ind w:left="720" w:hanging="720"/>
      </w:pPr>
      <w:r w:rsidRPr="00896F6F">
        <w:t>Grade-separated facilities such as foot overbridges and subways are often unsafe and inaccessible to many users, and inconvenient for all pedestrians. Therefore, the facilities that involve a significant vertical displacement of pedestrians will not be permitted on urban streets. Such facilities will only be considered in the context of limited access expressways.</w:t>
      </w:r>
    </w:p>
    <w:p w14:paraId="495D1120" w14:textId="77777777" w:rsidR="00800A61" w:rsidRPr="00896F6F" w:rsidRDefault="00800A61" w:rsidP="00800A61"/>
    <w:p w14:paraId="1266E5B0" w14:textId="45B2FB9F" w:rsidR="00800A61" w:rsidRPr="00896F6F" w:rsidRDefault="00800A61" w:rsidP="00800A61">
      <w:pPr>
        <w:keepNext/>
        <w:spacing w:line="360" w:lineRule="auto"/>
        <w:ind w:left="-30"/>
      </w:pPr>
    </w:p>
    <w:p w14:paraId="698476FD" w14:textId="77777777" w:rsidR="00800A61" w:rsidRPr="00896F6F" w:rsidRDefault="00800A61" w:rsidP="006B41F2">
      <w:pPr>
        <w:pStyle w:val="Policyhead"/>
        <w:numPr>
          <w:ilvl w:val="0"/>
          <w:numId w:val="9"/>
        </w:numPr>
        <w:ind w:left="360"/>
      </w:pPr>
      <w:bookmarkStart w:id="139" w:name="_yq3l18fprxa9" w:colFirst="0" w:colLast="0"/>
      <w:bookmarkStart w:id="140" w:name="_Ref470565934"/>
      <w:bookmarkStart w:id="141" w:name="_Toc525113194"/>
      <w:bookmarkEnd w:id="139"/>
      <w:r w:rsidRPr="00896F6F">
        <w:t>Pedestrian crossings: Intersections</w:t>
      </w:r>
      <w:bookmarkEnd w:id="140"/>
      <w:bookmarkEnd w:id="141"/>
    </w:p>
    <w:p w14:paraId="4A40A7E5" w14:textId="18F8B577" w:rsidR="007F5809" w:rsidRDefault="00800A61" w:rsidP="007F5809">
      <w:pPr>
        <w:pStyle w:val="Policytext1"/>
        <w:numPr>
          <w:ilvl w:val="1"/>
          <w:numId w:val="9"/>
        </w:numPr>
        <w:ind w:left="720" w:hanging="720"/>
      </w:pPr>
      <w:r w:rsidRPr="00896F6F">
        <w:t xml:space="preserve">At un-signalised intersections, raised crossings will be provided to ensure pedestrians can cross safely. They will be elevated to the level of the adjacent footpath, with ramps for motor vehicles with a slope of </w:t>
      </w:r>
      <w:r w:rsidR="007F5809" w:rsidRPr="00896F6F">
        <w:t>1:8.</w:t>
      </w:r>
    </w:p>
    <w:p w14:paraId="5A34F1F2" w14:textId="2D75E7A4" w:rsidR="00800A61" w:rsidRPr="00896F6F" w:rsidRDefault="00800A61" w:rsidP="007F5809">
      <w:pPr>
        <w:pStyle w:val="Policytext1"/>
        <w:numPr>
          <w:ilvl w:val="1"/>
          <w:numId w:val="9"/>
        </w:numPr>
        <w:ind w:left="720" w:hanging="720"/>
      </w:pPr>
      <w:r w:rsidRPr="00896F6F">
        <w:t xml:space="preserve">Smaller turning radii increase pedestrian safety by reducing vehicle speeds. Inner turning radii at intersections will not exceed 4 m on </w:t>
      </w:r>
      <w:r>
        <w:t>streets without bus service</w:t>
      </w:r>
      <w:r w:rsidRPr="00896F6F">
        <w:t xml:space="preserve"> and 7 m on </w:t>
      </w:r>
      <w:r>
        <w:t>streets with bus service</w:t>
      </w:r>
      <w:r w:rsidRPr="00896F6F">
        <w:t>.</w:t>
      </w:r>
    </w:p>
    <w:p w14:paraId="3C32ADD3" w14:textId="77777777" w:rsidR="00800A61" w:rsidRDefault="00800A61" w:rsidP="006B41F2">
      <w:pPr>
        <w:pStyle w:val="Policytext1"/>
        <w:numPr>
          <w:ilvl w:val="1"/>
          <w:numId w:val="9"/>
        </w:numPr>
        <w:ind w:left="720" w:hanging="720"/>
      </w:pPr>
      <w:r w:rsidRPr="00896F6F">
        <w:t>Pedestrian crossings at intersections will be d</w:t>
      </w:r>
      <w:r>
        <w:t>esigned to minimis</w:t>
      </w:r>
      <w:r w:rsidRPr="00896F6F">
        <w:t>e crossing distances and follow pedestrian desire lines.</w:t>
      </w:r>
    </w:p>
    <w:p w14:paraId="7F435A7B" w14:textId="77777777" w:rsidR="00800A61" w:rsidRPr="00896F6F" w:rsidRDefault="00800A61" w:rsidP="006B41F2">
      <w:pPr>
        <w:pStyle w:val="Policytext1"/>
        <w:numPr>
          <w:ilvl w:val="1"/>
          <w:numId w:val="9"/>
        </w:numPr>
        <w:ind w:left="720" w:hanging="720"/>
      </w:pPr>
      <w:r w:rsidRPr="00BD202A">
        <w:t xml:space="preserve">Tactile warning tiles </w:t>
      </w:r>
      <w:r>
        <w:t>will</w:t>
      </w:r>
      <w:r w:rsidRPr="00BD202A">
        <w:t xml:space="preserve"> be installed </w:t>
      </w:r>
      <w:r>
        <w:t xml:space="preserve">at intersections </w:t>
      </w:r>
      <w:r w:rsidRPr="00BD202A">
        <w:t>so that people with visual impairments know where</w:t>
      </w:r>
      <w:r>
        <w:t xml:space="preserve"> </w:t>
      </w:r>
      <w:r w:rsidRPr="00BD202A">
        <w:t xml:space="preserve">vehicles </w:t>
      </w:r>
      <w:r w:rsidRPr="009617A9">
        <w:t xml:space="preserve">and pedestrians interact. </w:t>
      </w:r>
      <w:r w:rsidRPr="00BD202A">
        <w:t xml:space="preserve">Detectable tiles </w:t>
      </w:r>
      <w:r>
        <w:t>will</w:t>
      </w:r>
      <w:r w:rsidRPr="00BD202A">
        <w:t xml:space="preserve"> be applied consistently throughout</w:t>
      </w:r>
      <w:r>
        <w:t xml:space="preserve"> </w:t>
      </w:r>
      <w:r w:rsidRPr="00BD202A">
        <w:t>the city in order provide useful orientation cues for pedestrians.</w:t>
      </w:r>
    </w:p>
    <w:p w14:paraId="55F310ED" w14:textId="77777777" w:rsidR="00800A61" w:rsidRPr="00896F6F" w:rsidRDefault="00800A61" w:rsidP="006B41F2">
      <w:pPr>
        <w:pStyle w:val="Policyhead"/>
        <w:numPr>
          <w:ilvl w:val="0"/>
          <w:numId w:val="9"/>
        </w:numPr>
        <w:ind w:left="360"/>
      </w:pPr>
      <w:bookmarkStart w:id="142" w:name="_Toc525113195"/>
      <w:r w:rsidRPr="00896F6F">
        <w:t>School zones</w:t>
      </w:r>
      <w:bookmarkEnd w:id="142"/>
    </w:p>
    <w:p w14:paraId="68DD31D5" w14:textId="77777777" w:rsidR="00800A61" w:rsidRPr="00896F6F" w:rsidRDefault="00800A61" w:rsidP="006B41F2">
      <w:pPr>
        <w:pStyle w:val="Policytext1"/>
        <w:numPr>
          <w:ilvl w:val="1"/>
          <w:numId w:val="9"/>
        </w:numPr>
        <w:ind w:left="720" w:hanging="720"/>
      </w:pPr>
      <w:r w:rsidRPr="00896F6F">
        <w:t xml:space="preserve">NMT route plans will be created for all schools to determine the routes and NMT modes used by students to reach the schools. </w:t>
      </w:r>
    </w:p>
    <w:p w14:paraId="08CD9B23" w14:textId="77777777" w:rsidR="00800A61" w:rsidRPr="00896F6F" w:rsidRDefault="00800A61" w:rsidP="006B41F2">
      <w:pPr>
        <w:pStyle w:val="Policytext1"/>
        <w:numPr>
          <w:ilvl w:val="1"/>
          <w:numId w:val="9"/>
        </w:numPr>
        <w:ind w:left="720" w:hanging="720"/>
      </w:pPr>
      <w:r w:rsidRPr="00896F6F">
        <w:t>Along major school access routes, the following interventions will be employed to improve access and safety:</w:t>
      </w:r>
    </w:p>
    <w:p w14:paraId="52C550A0" w14:textId="77777777" w:rsidR="00800A61" w:rsidRPr="00896F6F" w:rsidRDefault="00800A61" w:rsidP="006B41F2">
      <w:pPr>
        <w:pStyle w:val="Policytext2"/>
        <w:numPr>
          <w:ilvl w:val="2"/>
          <w:numId w:val="9"/>
        </w:numPr>
        <w:ind w:left="1440" w:hanging="720"/>
      </w:pPr>
      <w:r w:rsidRPr="00896F6F">
        <w:t xml:space="preserve">The speed limit will be restricted to 30 km/h </w:t>
      </w:r>
      <w:r>
        <w:t xml:space="preserve">or below </w:t>
      </w:r>
      <w:r w:rsidRPr="00896F6F">
        <w:t>within a 200 m radius of the school and traffic calming elements will be installed to ensure that vehicles follow the speed limit.</w:t>
      </w:r>
    </w:p>
    <w:p w14:paraId="76B2EBD4" w14:textId="77777777" w:rsidR="00800A61" w:rsidRPr="00896F6F" w:rsidRDefault="00800A61" w:rsidP="006B41F2">
      <w:pPr>
        <w:pStyle w:val="Policytext2"/>
        <w:numPr>
          <w:ilvl w:val="2"/>
          <w:numId w:val="9"/>
        </w:numPr>
        <w:ind w:left="1440" w:hanging="720"/>
      </w:pPr>
      <w:r w:rsidRPr="00896F6F">
        <w:t xml:space="preserve">Traffic calmed pedestrian crossings will be installed, meeting or exceeding provisions of Sections </w:t>
      </w:r>
      <w:r w:rsidRPr="00896F6F">
        <w:fldChar w:fldCharType="begin"/>
      </w:r>
      <w:r w:rsidRPr="00896F6F">
        <w:instrText xml:space="preserve"> REF _Ref470565927 \r \h </w:instrText>
      </w:r>
      <w:r w:rsidRPr="00896F6F">
        <w:fldChar w:fldCharType="separate"/>
      </w:r>
      <w:r>
        <w:t>4</w:t>
      </w:r>
      <w:r w:rsidRPr="00896F6F">
        <w:fldChar w:fldCharType="end"/>
      </w:r>
      <w:r w:rsidRPr="00896F6F">
        <w:t xml:space="preserve"> and </w:t>
      </w:r>
      <w:r w:rsidRPr="00896F6F">
        <w:fldChar w:fldCharType="begin"/>
      </w:r>
      <w:r w:rsidRPr="00896F6F">
        <w:instrText xml:space="preserve"> REF _Ref470565934 \r \h </w:instrText>
      </w:r>
      <w:r w:rsidRPr="00896F6F">
        <w:fldChar w:fldCharType="separate"/>
      </w:r>
      <w:r>
        <w:t>5</w:t>
      </w:r>
      <w:r w:rsidRPr="00896F6F">
        <w:fldChar w:fldCharType="end"/>
      </w:r>
      <w:r w:rsidRPr="00896F6F">
        <w:t>. Additional protection may include flashing beacons.</w:t>
      </w:r>
    </w:p>
    <w:p w14:paraId="490E1ED3" w14:textId="77777777" w:rsidR="00800A61" w:rsidRPr="00896F6F" w:rsidRDefault="00800A61" w:rsidP="006B41F2">
      <w:pPr>
        <w:pStyle w:val="Policytext2"/>
        <w:numPr>
          <w:ilvl w:val="2"/>
          <w:numId w:val="9"/>
        </w:numPr>
        <w:ind w:left="1440" w:hanging="720"/>
      </w:pPr>
      <w:r w:rsidRPr="00896F6F">
        <w:t>Signs indicating school zone presence, pedestrian crossings, and speed limits will be installed to remind drivers to treat the area with special care and attention.</w:t>
      </w:r>
    </w:p>
    <w:p w14:paraId="3DC15367" w14:textId="77777777" w:rsidR="00800A61" w:rsidRPr="00896F6F" w:rsidRDefault="00800A61" w:rsidP="006B41F2">
      <w:pPr>
        <w:pStyle w:val="Policyhead"/>
        <w:numPr>
          <w:ilvl w:val="0"/>
          <w:numId w:val="9"/>
        </w:numPr>
        <w:ind w:left="360"/>
      </w:pPr>
      <w:bookmarkStart w:id="143" w:name="_Toc525113196"/>
      <w:r w:rsidRPr="00896F6F">
        <w:t>Landscaping</w:t>
      </w:r>
      <w:bookmarkEnd w:id="143"/>
    </w:p>
    <w:p w14:paraId="3CA96C96" w14:textId="77777777" w:rsidR="00800A61" w:rsidRPr="00896F6F" w:rsidRDefault="00800A61" w:rsidP="006B41F2">
      <w:pPr>
        <w:pStyle w:val="Policytext1"/>
        <w:numPr>
          <w:ilvl w:val="1"/>
          <w:numId w:val="9"/>
        </w:numPr>
        <w:ind w:left="720" w:hanging="720"/>
      </w:pPr>
      <w:r w:rsidRPr="00896F6F">
        <w:t>All footpaths</w:t>
      </w:r>
      <w:r>
        <w:t xml:space="preserve"> and cycle tracks</w:t>
      </w:r>
      <w:r w:rsidRPr="00896F6F">
        <w:t xml:space="preserve"> should have a continuous tree line</w:t>
      </w:r>
      <w:r>
        <w:t>s</w:t>
      </w:r>
      <w:r w:rsidRPr="00896F6F">
        <w:t xml:space="preserve"> to provide shade and improve the aesthetics of the streetscape.</w:t>
      </w:r>
    </w:p>
    <w:p w14:paraId="4AB78BFC" w14:textId="77777777" w:rsidR="00800A61" w:rsidRPr="00896F6F" w:rsidRDefault="00800A61" w:rsidP="006B41F2">
      <w:pPr>
        <w:pStyle w:val="Policytext1"/>
        <w:numPr>
          <w:ilvl w:val="1"/>
          <w:numId w:val="9"/>
        </w:numPr>
        <w:ind w:left="720" w:hanging="720"/>
      </w:pPr>
      <w:r w:rsidRPr="00896F6F">
        <w:t>Placement of landscaping should be coordinated with other street amenities (especially advertising panels and utility boxes) to maintain a clear path of travel for pedestrians and cyclists so as to not obstruct through movement.</w:t>
      </w:r>
    </w:p>
    <w:p w14:paraId="7E82260C" w14:textId="77777777" w:rsidR="00800A61" w:rsidRPr="00896F6F" w:rsidRDefault="00800A61" w:rsidP="006B41F2">
      <w:pPr>
        <w:pStyle w:val="Policytext1"/>
        <w:numPr>
          <w:ilvl w:val="1"/>
          <w:numId w:val="9"/>
        </w:numPr>
        <w:ind w:left="720" w:hanging="720"/>
      </w:pPr>
      <w:r w:rsidRPr="00896F6F">
        <w:t>Height of trees should be maintained so that it does not hinder the visibility of all road users. Tree canopies will have a minimum clearance of 3 m from the surface of the footpath to ensure better visibility for pedestrians.</w:t>
      </w:r>
    </w:p>
    <w:p w14:paraId="61FAA2F4" w14:textId="77777777" w:rsidR="00800A61" w:rsidRPr="00896F6F" w:rsidRDefault="00800A61" w:rsidP="006B41F2">
      <w:pPr>
        <w:pStyle w:val="Policytext1"/>
        <w:numPr>
          <w:ilvl w:val="1"/>
          <w:numId w:val="9"/>
        </w:numPr>
        <w:ind w:left="720" w:hanging="720"/>
      </w:pPr>
      <w:r w:rsidRPr="00896F6F">
        <w:lastRenderedPageBreak/>
        <w:t>Native trees will be planted to minimise irrigation and maintenance requirements and for prolonged tree life.</w:t>
      </w:r>
    </w:p>
    <w:p w14:paraId="674A4993" w14:textId="77777777" w:rsidR="00800A61" w:rsidRPr="00896F6F" w:rsidRDefault="00800A61" w:rsidP="006B41F2">
      <w:pPr>
        <w:pStyle w:val="Policytext1"/>
        <w:numPr>
          <w:ilvl w:val="1"/>
          <w:numId w:val="9"/>
        </w:numPr>
        <w:ind w:left="720" w:hanging="720"/>
      </w:pPr>
      <w:r w:rsidRPr="00896F6F">
        <w:t>All trees will be protected with tree pits that allow maximum soil exposure enabling water and air to get to the roots.</w:t>
      </w:r>
    </w:p>
    <w:p w14:paraId="27F56B90" w14:textId="77777777" w:rsidR="00800A61" w:rsidRPr="00896F6F" w:rsidRDefault="00800A61" w:rsidP="006B41F2">
      <w:pPr>
        <w:pStyle w:val="Policyhead"/>
        <w:numPr>
          <w:ilvl w:val="0"/>
          <w:numId w:val="9"/>
        </w:numPr>
        <w:ind w:left="360"/>
      </w:pPr>
      <w:bookmarkStart w:id="144" w:name="_Toc525113197"/>
      <w:r w:rsidRPr="00896F6F">
        <w:t>Bus stops</w:t>
      </w:r>
      <w:bookmarkEnd w:id="144"/>
    </w:p>
    <w:p w14:paraId="0D2C4104" w14:textId="77777777" w:rsidR="00800A61" w:rsidRPr="00896F6F" w:rsidRDefault="00800A61" w:rsidP="006B41F2">
      <w:pPr>
        <w:pStyle w:val="Policytext1"/>
        <w:numPr>
          <w:ilvl w:val="1"/>
          <w:numId w:val="9"/>
        </w:numPr>
        <w:ind w:left="720" w:hanging="720"/>
      </w:pPr>
      <w:r w:rsidRPr="00896F6F">
        <w:t>Bus stops provide safety and comfort for passengers while waiting and will be placed at 200-400 m intervals so that passengers can easily access the nearest stop by foot.</w:t>
      </w:r>
    </w:p>
    <w:p w14:paraId="75C6F7CA" w14:textId="77777777" w:rsidR="00800A61" w:rsidRPr="00896F6F" w:rsidRDefault="00800A61" w:rsidP="006B41F2">
      <w:pPr>
        <w:pStyle w:val="Policytext1"/>
        <w:numPr>
          <w:ilvl w:val="1"/>
          <w:numId w:val="9"/>
        </w:numPr>
        <w:ind w:left="720" w:hanging="720"/>
      </w:pPr>
      <w:r w:rsidRPr="00896F6F">
        <w:t>Placement of bus shelters will maintain the continuity of footpaths and cycle tracks. This may imply diverting the footpath, cycle track, or service lane behind the bus shelter.</w:t>
      </w:r>
    </w:p>
    <w:p w14:paraId="6D1CE934" w14:textId="77777777" w:rsidR="00800A61" w:rsidRDefault="00800A61" w:rsidP="006B41F2">
      <w:pPr>
        <w:pStyle w:val="Policytext1"/>
        <w:numPr>
          <w:ilvl w:val="1"/>
          <w:numId w:val="9"/>
        </w:numPr>
        <w:ind w:left="720" w:hanging="720"/>
      </w:pPr>
      <w:r w:rsidRPr="00896F6F">
        <w:t>Bus stops will be placed adjacent to the bus linear line of travel so that a bus does not need to pull over to the left. If there is parking space between the footpath and the carriage way, bus stops will be located on the bulb-out of the parking lane.</w:t>
      </w:r>
    </w:p>
    <w:p w14:paraId="092B7498" w14:textId="77777777" w:rsidR="00800A61" w:rsidRPr="00896F6F" w:rsidRDefault="00800A61" w:rsidP="006B41F2">
      <w:pPr>
        <w:pStyle w:val="Policytext1"/>
        <w:numPr>
          <w:ilvl w:val="1"/>
          <w:numId w:val="9"/>
        </w:numPr>
        <w:ind w:left="720" w:hanging="720"/>
      </w:pPr>
      <w:r>
        <w:t xml:space="preserve">Bus stops shall be sufficiently spaced from an intersection based on the bus frequencies and traffic volumes so as not to obstruct flow of traffic. </w:t>
      </w:r>
    </w:p>
    <w:p w14:paraId="632492B4" w14:textId="77777777" w:rsidR="00800A61" w:rsidRPr="000A624F" w:rsidRDefault="00800A61" w:rsidP="006B41F2">
      <w:pPr>
        <w:pStyle w:val="Policytext1"/>
        <w:numPr>
          <w:ilvl w:val="1"/>
          <w:numId w:val="9"/>
        </w:numPr>
        <w:ind w:left="720" w:hanging="720"/>
      </w:pPr>
      <w:r>
        <w:t>Stops will be managed to allow buses to only drop and pick passengers and prohibit buses from holding at the stop for long periods. Where long stay buses are necessary, these should be accommodated at high quality terminal stations at the ends of the bus corridor.</w:t>
      </w:r>
    </w:p>
    <w:p w14:paraId="0D1CF908" w14:textId="77777777" w:rsidR="00800A61" w:rsidRPr="00896F6F" w:rsidRDefault="00800A61" w:rsidP="006B41F2">
      <w:pPr>
        <w:pStyle w:val="Policytext1"/>
        <w:numPr>
          <w:ilvl w:val="1"/>
          <w:numId w:val="9"/>
        </w:numPr>
        <w:ind w:left="720" w:hanging="720"/>
      </w:pPr>
      <w:r w:rsidRPr="00896F6F">
        <w:t>The length and width of a bus stop will vary depending upon passenger demand. However, it is recommended that bus stops be at least 2.5 m wide which is adequate for seating arrangements.</w:t>
      </w:r>
    </w:p>
    <w:p w14:paraId="0A731363" w14:textId="5573C2BA" w:rsidR="00BB4D44" w:rsidRPr="00896F6F" w:rsidRDefault="00800A61" w:rsidP="00BB4D44">
      <w:pPr>
        <w:pStyle w:val="Policytext1"/>
        <w:numPr>
          <w:ilvl w:val="1"/>
          <w:numId w:val="9"/>
        </w:numPr>
        <w:ind w:left="720" w:hanging="720"/>
      </w:pPr>
      <w:r w:rsidRPr="00896F6F">
        <w:t>Seating will be more than 450 mm above the finished floor level. The finish floor level will not exceed 150 mm above the carriageway.</w:t>
      </w:r>
      <w:bookmarkStart w:id="145" w:name="_9t3kdlr0wy72" w:colFirst="0" w:colLast="0"/>
      <w:bookmarkStart w:id="146" w:name="_pvrbd7x4ktkg" w:colFirst="0" w:colLast="0"/>
      <w:bookmarkEnd w:id="145"/>
      <w:bookmarkEnd w:id="146"/>
    </w:p>
    <w:p w14:paraId="28647634" w14:textId="77777777" w:rsidR="00800A61" w:rsidRPr="00896F6F" w:rsidRDefault="00800A61" w:rsidP="006B41F2">
      <w:pPr>
        <w:pStyle w:val="Policyhead"/>
        <w:numPr>
          <w:ilvl w:val="0"/>
          <w:numId w:val="9"/>
        </w:numPr>
        <w:ind w:left="360"/>
      </w:pPr>
      <w:bookmarkStart w:id="147" w:name="_2cgs0jo72std" w:colFirst="0" w:colLast="0"/>
      <w:bookmarkStart w:id="148" w:name="_Toc525113198"/>
      <w:bookmarkEnd w:id="147"/>
      <w:r w:rsidRPr="00896F6F">
        <w:t>Street lighting</w:t>
      </w:r>
      <w:bookmarkEnd w:id="148"/>
    </w:p>
    <w:p w14:paraId="311772FF" w14:textId="77777777" w:rsidR="00800A61" w:rsidRPr="00896F6F" w:rsidRDefault="00800A61" w:rsidP="006B41F2">
      <w:pPr>
        <w:pStyle w:val="Policytext1"/>
        <w:numPr>
          <w:ilvl w:val="1"/>
          <w:numId w:val="9"/>
        </w:numPr>
        <w:ind w:left="720" w:hanging="720"/>
      </w:pPr>
      <w:r w:rsidRPr="00896F6F">
        <w:t xml:space="preserve">Street lighting should be provided such that the longitudinal dimension is equivalent to three times the pole height, and horizontal dimension is slightly longer than the pole. </w:t>
      </w:r>
    </w:p>
    <w:p w14:paraId="6BA36CC3" w14:textId="77777777" w:rsidR="00800A61" w:rsidRPr="00896F6F" w:rsidRDefault="00800A61" w:rsidP="006B41F2">
      <w:pPr>
        <w:pStyle w:val="Policytext1"/>
        <w:numPr>
          <w:ilvl w:val="1"/>
          <w:numId w:val="9"/>
        </w:numPr>
        <w:ind w:left="720" w:hanging="720"/>
      </w:pPr>
      <w:r w:rsidRPr="00896F6F">
        <w:t>The table below indicates pole height and spacing options. The spacing between two light poles will be approximately three times the height of the pole.</w:t>
      </w:r>
    </w:p>
    <w:p w14:paraId="779063A8" w14:textId="77777777" w:rsidR="00800A61" w:rsidRPr="00896F6F" w:rsidRDefault="00800A61" w:rsidP="00800A61"/>
    <w:p w14:paraId="794C16BE" w14:textId="3F7C86F0" w:rsidR="00800A61" w:rsidRPr="00896F6F" w:rsidRDefault="00800A61" w:rsidP="00800A61">
      <w:pPr>
        <w:pStyle w:val="Caption"/>
        <w:keepNext/>
      </w:pPr>
      <w:r w:rsidRPr="00896F6F">
        <w:t xml:space="preserve">Table </w:t>
      </w:r>
      <w:r w:rsidRPr="00896F6F">
        <w:fldChar w:fldCharType="begin"/>
      </w:r>
      <w:r w:rsidRPr="00896F6F">
        <w:instrText xml:space="preserve"> SEQ Table \* ARABIC </w:instrText>
      </w:r>
      <w:r w:rsidRPr="00896F6F">
        <w:fldChar w:fldCharType="separate"/>
      </w:r>
      <w:r w:rsidR="00851657">
        <w:rPr>
          <w:noProof/>
        </w:rPr>
        <w:t>11</w:t>
      </w:r>
      <w:r w:rsidRPr="00896F6F">
        <w:fldChar w:fldCharType="end"/>
      </w:r>
      <w:r w:rsidRPr="00896F6F">
        <w:t>: Pole height and spacing metrics</w:t>
      </w:r>
    </w:p>
    <w:tbl>
      <w:tblPr>
        <w:tblStyle w:val="TableGridLight1"/>
        <w:tblW w:w="6040" w:type="dxa"/>
        <w:tblInd w:w="1075" w:type="dxa"/>
        <w:tblLook w:val="04A0" w:firstRow="1" w:lastRow="0" w:firstColumn="1" w:lastColumn="0" w:noHBand="0" w:noVBand="1"/>
      </w:tblPr>
      <w:tblGrid>
        <w:gridCol w:w="3363"/>
        <w:gridCol w:w="1507"/>
        <w:gridCol w:w="1170"/>
      </w:tblGrid>
      <w:tr w:rsidR="00800A61" w:rsidRPr="00896F6F" w14:paraId="5810334D" w14:textId="77777777" w:rsidTr="00C8714B">
        <w:trPr>
          <w:cnfStyle w:val="100000000000" w:firstRow="1" w:lastRow="0" w:firstColumn="0" w:lastColumn="0" w:oddVBand="0" w:evenVBand="0" w:oddHBand="0" w:evenHBand="0" w:firstRowFirstColumn="0" w:firstRowLastColumn="0" w:lastRowFirstColumn="0" w:lastRowLastColumn="0"/>
        </w:trPr>
        <w:tc>
          <w:tcPr>
            <w:tcW w:w="3363" w:type="dxa"/>
          </w:tcPr>
          <w:p w14:paraId="77117AD2" w14:textId="77777777" w:rsidR="00800A61" w:rsidRPr="00896F6F" w:rsidRDefault="00800A61" w:rsidP="00B72986">
            <w:pPr>
              <w:pStyle w:val="Tabletext"/>
            </w:pPr>
            <w:r w:rsidRPr="00896F6F">
              <w:t>Street type</w:t>
            </w:r>
          </w:p>
        </w:tc>
        <w:tc>
          <w:tcPr>
            <w:tcW w:w="0" w:type="auto"/>
          </w:tcPr>
          <w:p w14:paraId="74A1B79B" w14:textId="77777777" w:rsidR="00800A61" w:rsidRPr="00896F6F" w:rsidRDefault="00800A61" w:rsidP="00B72986">
            <w:pPr>
              <w:pStyle w:val="Tabletext"/>
            </w:pPr>
            <w:r w:rsidRPr="00896F6F">
              <w:t>Pole height (m)</w:t>
            </w:r>
          </w:p>
        </w:tc>
        <w:tc>
          <w:tcPr>
            <w:tcW w:w="0" w:type="auto"/>
          </w:tcPr>
          <w:p w14:paraId="7B0DB61B" w14:textId="77777777" w:rsidR="00800A61" w:rsidRPr="00896F6F" w:rsidRDefault="00800A61" w:rsidP="00B72986">
            <w:pPr>
              <w:pStyle w:val="Tabletext"/>
            </w:pPr>
            <w:r w:rsidRPr="00896F6F">
              <w:t>Spacing (m)</w:t>
            </w:r>
          </w:p>
        </w:tc>
      </w:tr>
      <w:tr w:rsidR="00800A61" w:rsidRPr="00896F6F" w14:paraId="49827D92" w14:textId="77777777" w:rsidTr="00C8714B">
        <w:tc>
          <w:tcPr>
            <w:tcW w:w="3363" w:type="dxa"/>
          </w:tcPr>
          <w:p w14:paraId="008CF6CE" w14:textId="77777777" w:rsidR="00800A61" w:rsidRPr="00896F6F" w:rsidRDefault="00800A61" w:rsidP="00B72986">
            <w:pPr>
              <w:pStyle w:val="Tabletext"/>
            </w:pPr>
            <w:r w:rsidRPr="00896F6F">
              <w:t>Footpath or Cycle track (&lt; 5 m width)</w:t>
            </w:r>
          </w:p>
        </w:tc>
        <w:tc>
          <w:tcPr>
            <w:tcW w:w="0" w:type="auto"/>
          </w:tcPr>
          <w:p w14:paraId="3AE4EA8B" w14:textId="77777777" w:rsidR="00800A61" w:rsidRPr="00896F6F" w:rsidRDefault="00800A61" w:rsidP="00B72986">
            <w:pPr>
              <w:pStyle w:val="Tabletext"/>
              <w:jc w:val="right"/>
            </w:pPr>
            <w:r w:rsidRPr="00896F6F">
              <w:t>4.5 – 6.0</w:t>
            </w:r>
          </w:p>
        </w:tc>
        <w:tc>
          <w:tcPr>
            <w:tcW w:w="0" w:type="auto"/>
          </w:tcPr>
          <w:p w14:paraId="7B06A8B1" w14:textId="77777777" w:rsidR="00800A61" w:rsidRPr="00896F6F" w:rsidRDefault="00800A61" w:rsidP="00B72986">
            <w:pPr>
              <w:pStyle w:val="Tabletext"/>
              <w:jc w:val="right"/>
            </w:pPr>
            <w:r w:rsidRPr="00896F6F">
              <w:t>12 - 16</w:t>
            </w:r>
          </w:p>
        </w:tc>
      </w:tr>
      <w:tr w:rsidR="00800A61" w:rsidRPr="00896F6F" w14:paraId="7D2EBBE5" w14:textId="77777777" w:rsidTr="00C8714B">
        <w:tc>
          <w:tcPr>
            <w:tcW w:w="3363" w:type="dxa"/>
          </w:tcPr>
          <w:p w14:paraId="2E1819D7" w14:textId="77777777" w:rsidR="00800A61" w:rsidRPr="00896F6F" w:rsidRDefault="00800A61" w:rsidP="00B72986">
            <w:pPr>
              <w:pStyle w:val="Tabletext"/>
            </w:pPr>
            <w:r w:rsidRPr="00896F6F">
              <w:t>Streets with ROW of 9 m or less</w:t>
            </w:r>
          </w:p>
        </w:tc>
        <w:tc>
          <w:tcPr>
            <w:tcW w:w="0" w:type="auto"/>
          </w:tcPr>
          <w:p w14:paraId="6DA411BD" w14:textId="77777777" w:rsidR="00800A61" w:rsidRPr="00896F6F" w:rsidRDefault="00800A61" w:rsidP="00B72986">
            <w:pPr>
              <w:pStyle w:val="Tabletext"/>
              <w:jc w:val="right"/>
            </w:pPr>
            <w:r w:rsidRPr="00896F6F">
              <w:t>8 – 10</w:t>
            </w:r>
          </w:p>
        </w:tc>
        <w:tc>
          <w:tcPr>
            <w:tcW w:w="0" w:type="auto"/>
          </w:tcPr>
          <w:p w14:paraId="4A49682F" w14:textId="77777777" w:rsidR="00800A61" w:rsidRPr="00896F6F" w:rsidRDefault="00800A61" w:rsidP="00B72986">
            <w:pPr>
              <w:pStyle w:val="Tabletext"/>
              <w:jc w:val="right"/>
            </w:pPr>
            <w:r w:rsidRPr="00896F6F">
              <w:t>25 – 27</w:t>
            </w:r>
          </w:p>
        </w:tc>
      </w:tr>
      <w:tr w:rsidR="00800A61" w:rsidRPr="00896F6F" w14:paraId="2776B552" w14:textId="77777777" w:rsidTr="00C8714B">
        <w:tc>
          <w:tcPr>
            <w:tcW w:w="3363" w:type="dxa"/>
          </w:tcPr>
          <w:p w14:paraId="04EB44D2" w14:textId="77777777" w:rsidR="00800A61" w:rsidRPr="00896F6F" w:rsidRDefault="00800A61" w:rsidP="00B72986">
            <w:pPr>
              <w:pStyle w:val="Tabletext"/>
            </w:pPr>
            <w:r w:rsidRPr="00896F6F">
              <w:t>Streets with ROW of more than 9 m</w:t>
            </w:r>
          </w:p>
        </w:tc>
        <w:tc>
          <w:tcPr>
            <w:tcW w:w="0" w:type="auto"/>
          </w:tcPr>
          <w:p w14:paraId="50BBCCE2" w14:textId="77777777" w:rsidR="00800A61" w:rsidRPr="00896F6F" w:rsidRDefault="00800A61" w:rsidP="00B72986">
            <w:pPr>
              <w:pStyle w:val="Tabletext"/>
              <w:jc w:val="right"/>
            </w:pPr>
            <w:r w:rsidRPr="00896F6F">
              <w:t>10 -12</w:t>
            </w:r>
          </w:p>
        </w:tc>
        <w:tc>
          <w:tcPr>
            <w:tcW w:w="0" w:type="auto"/>
          </w:tcPr>
          <w:p w14:paraId="4FAFD477" w14:textId="77777777" w:rsidR="00800A61" w:rsidRPr="00896F6F" w:rsidRDefault="00800A61" w:rsidP="00B72986">
            <w:pPr>
              <w:pStyle w:val="Tabletext"/>
              <w:jc w:val="right"/>
            </w:pPr>
            <w:r w:rsidRPr="00896F6F">
              <w:t>30 - 33</w:t>
            </w:r>
          </w:p>
        </w:tc>
      </w:tr>
    </w:tbl>
    <w:p w14:paraId="1016C756" w14:textId="77777777" w:rsidR="00800A61" w:rsidRPr="00896F6F" w:rsidRDefault="00800A61" w:rsidP="00800A61"/>
    <w:p w14:paraId="54E9D8BA" w14:textId="77777777" w:rsidR="00800A61" w:rsidRPr="00896F6F" w:rsidRDefault="00800A61" w:rsidP="006B41F2">
      <w:pPr>
        <w:pStyle w:val="Policytext1"/>
        <w:numPr>
          <w:ilvl w:val="1"/>
          <w:numId w:val="9"/>
        </w:numPr>
        <w:ind w:left="720" w:hanging="720"/>
      </w:pPr>
      <w:r w:rsidRPr="00896F6F">
        <w:lastRenderedPageBreak/>
        <w:t>Poles will be no higher than 12 m to reduce undesirable illumination of private properties.</w:t>
      </w:r>
    </w:p>
    <w:p w14:paraId="2A2C3109" w14:textId="77777777" w:rsidR="00800A61" w:rsidRPr="00896F6F" w:rsidRDefault="00800A61" w:rsidP="006B41F2">
      <w:pPr>
        <w:pStyle w:val="Policytext1"/>
        <w:numPr>
          <w:ilvl w:val="1"/>
          <w:numId w:val="9"/>
        </w:numPr>
        <w:ind w:left="720" w:hanging="720"/>
      </w:pPr>
      <w:r w:rsidRPr="00896F6F">
        <w:t>Additional lighting should be provided particularly at black spots, areas of sexual harassment and/or violence, areas of personal crime, and areas of isolation.</w:t>
      </w:r>
    </w:p>
    <w:p w14:paraId="7C61FB76" w14:textId="77777777" w:rsidR="00800A61" w:rsidRPr="00896F6F" w:rsidRDefault="00800A61" w:rsidP="006B41F2">
      <w:pPr>
        <w:pStyle w:val="Policytext1"/>
        <w:numPr>
          <w:ilvl w:val="1"/>
          <w:numId w:val="9"/>
        </w:numPr>
        <w:ind w:left="720" w:hanging="720"/>
      </w:pPr>
      <w:r w:rsidRPr="00896F6F">
        <w:t xml:space="preserve">The placement of street lighting should be coordinated with other street elements so that they do not impede proper illumination. </w:t>
      </w:r>
    </w:p>
    <w:p w14:paraId="55F8CBDC" w14:textId="77777777" w:rsidR="00800A61" w:rsidRPr="00896F6F" w:rsidRDefault="00800A61" w:rsidP="006B41F2">
      <w:pPr>
        <w:pStyle w:val="Policytext1"/>
        <w:numPr>
          <w:ilvl w:val="1"/>
          <w:numId w:val="9"/>
        </w:numPr>
        <w:ind w:left="720" w:hanging="720"/>
      </w:pPr>
      <w:r w:rsidRPr="00896F6F">
        <w:t xml:space="preserve">A single row of light posts is generally sufficient for streets up to 12 m wide. </w:t>
      </w:r>
    </w:p>
    <w:p w14:paraId="44B1A9A3" w14:textId="77777777" w:rsidR="00800A61" w:rsidRPr="00896F6F" w:rsidRDefault="00800A61" w:rsidP="006B41F2">
      <w:pPr>
        <w:pStyle w:val="Policytext1"/>
        <w:numPr>
          <w:ilvl w:val="1"/>
          <w:numId w:val="9"/>
        </w:numPr>
        <w:ind w:left="720" w:hanging="720"/>
      </w:pPr>
      <w:r w:rsidRPr="00896F6F">
        <w:t>On wider streets, dual lights can be mounted on a single central post.</w:t>
      </w:r>
    </w:p>
    <w:p w14:paraId="6EC5AF93" w14:textId="77777777" w:rsidR="00800A61" w:rsidRPr="00896F6F" w:rsidRDefault="00800A61" w:rsidP="006B41F2">
      <w:pPr>
        <w:pStyle w:val="Policyhead"/>
        <w:numPr>
          <w:ilvl w:val="0"/>
          <w:numId w:val="9"/>
        </w:numPr>
        <w:ind w:left="360"/>
      </w:pPr>
      <w:bookmarkStart w:id="149" w:name="_Ref483582512"/>
      <w:bookmarkStart w:id="150" w:name="_Toc525113199"/>
      <w:r w:rsidRPr="00896F6F">
        <w:t>Street vending</w:t>
      </w:r>
      <w:bookmarkEnd w:id="149"/>
      <w:bookmarkEnd w:id="150"/>
    </w:p>
    <w:p w14:paraId="30ED80AE" w14:textId="77777777" w:rsidR="00800A61" w:rsidRPr="00896F6F" w:rsidRDefault="00800A61" w:rsidP="006B41F2">
      <w:pPr>
        <w:pStyle w:val="Policytext1"/>
        <w:numPr>
          <w:ilvl w:val="1"/>
          <w:numId w:val="9"/>
        </w:numPr>
        <w:ind w:left="720" w:hanging="720"/>
      </w:pPr>
      <w:r w:rsidRPr="00896F6F">
        <w:t>Street vending should be accommodated where there is demand for their goods and services. Well-planned vending zones allow formal and informal vending to coexist together without compromising pedestrian and cyclist mobility.</w:t>
      </w:r>
    </w:p>
    <w:p w14:paraId="43A25FBE" w14:textId="1A8CB723" w:rsidR="00800A61" w:rsidRPr="00896F6F" w:rsidRDefault="00800A61" w:rsidP="00800A61">
      <w:pPr>
        <w:pStyle w:val="Policytext1"/>
        <w:numPr>
          <w:ilvl w:val="1"/>
          <w:numId w:val="9"/>
        </w:numPr>
        <w:ind w:left="720" w:hanging="720"/>
      </w:pPr>
      <w:r w:rsidRPr="00896F6F">
        <w:t xml:space="preserve">Vending areas should be positioned in the furniture zone of the footpath in order to ensure the continuity of footpaths and cycle tracks. </w:t>
      </w:r>
    </w:p>
    <w:p w14:paraId="473FDB08" w14:textId="77777777" w:rsidR="00800A61" w:rsidRPr="00896F6F" w:rsidRDefault="00800A61" w:rsidP="006B41F2">
      <w:pPr>
        <w:pStyle w:val="Policyhead"/>
        <w:numPr>
          <w:ilvl w:val="0"/>
          <w:numId w:val="9"/>
        </w:numPr>
        <w:ind w:left="360"/>
      </w:pPr>
      <w:bookmarkStart w:id="151" w:name="_Toc525113200"/>
      <w:r w:rsidRPr="00896F6F">
        <w:t>Street furniture and amenities</w:t>
      </w:r>
      <w:bookmarkEnd w:id="151"/>
    </w:p>
    <w:p w14:paraId="77C2A808" w14:textId="77777777" w:rsidR="00800A61" w:rsidRPr="00896F6F" w:rsidRDefault="00800A61" w:rsidP="006B41F2">
      <w:pPr>
        <w:pStyle w:val="Policytext1"/>
        <w:numPr>
          <w:ilvl w:val="1"/>
          <w:numId w:val="9"/>
        </w:numPr>
        <w:ind w:left="720" w:hanging="720"/>
      </w:pPr>
      <w:r w:rsidRPr="00896F6F">
        <w:t>Street furniture will be located where it is likely to be used. Furniture is required in larger quantities in commercial hubs, market areas, junctions, bus stops, railway stations, and public buildings, and on streets with high pedestrian activity. Refuse collection furniture / waste bins will be provided at frequent intervals (e.g. every 20 m) on streets with large numbers of pedestrians and commercial activity. Public toilets will be placed at every 500–800 m.</w:t>
      </w:r>
    </w:p>
    <w:p w14:paraId="01B52ADA" w14:textId="77777777" w:rsidR="00800A61" w:rsidRPr="00896F6F" w:rsidRDefault="00800A61" w:rsidP="006B41F2">
      <w:pPr>
        <w:pStyle w:val="Policytext1"/>
        <w:numPr>
          <w:ilvl w:val="1"/>
          <w:numId w:val="9"/>
        </w:numPr>
        <w:ind w:left="720" w:hanging="720"/>
      </w:pPr>
      <w:r w:rsidRPr="00896F6F">
        <w:t>Most street furniture, especially benches and tables, will be placed where it receives shade and does not obstruct pedestrian through movement.</w:t>
      </w:r>
    </w:p>
    <w:p w14:paraId="1E39AF0F" w14:textId="77777777" w:rsidR="00800A61" w:rsidRPr="00896F6F" w:rsidRDefault="00800A61" w:rsidP="006B41F2">
      <w:pPr>
        <w:pStyle w:val="Policytext1"/>
        <w:numPr>
          <w:ilvl w:val="1"/>
          <w:numId w:val="9"/>
        </w:numPr>
        <w:ind w:left="720" w:hanging="720"/>
      </w:pPr>
      <w:r w:rsidRPr="00896F6F">
        <w:t>Street furniture can be installed in bulb-outs of parking lanes. Similarly, a landscaping strip can be discontinued with street furniture on hardscaped spaces.</w:t>
      </w:r>
    </w:p>
    <w:p w14:paraId="25FD9F54" w14:textId="77777777" w:rsidR="00800A61" w:rsidRPr="00896F6F" w:rsidRDefault="00800A61" w:rsidP="006B41F2">
      <w:pPr>
        <w:pStyle w:val="Policyhead"/>
        <w:numPr>
          <w:ilvl w:val="0"/>
          <w:numId w:val="9"/>
        </w:numPr>
        <w:ind w:left="360"/>
      </w:pPr>
      <w:bookmarkStart w:id="152" w:name="_Toc525113201"/>
      <w:r w:rsidRPr="00896F6F">
        <w:t>On-street parking</w:t>
      </w:r>
      <w:bookmarkEnd w:id="152"/>
    </w:p>
    <w:p w14:paraId="0DD631EF" w14:textId="77777777" w:rsidR="00800A61" w:rsidRPr="00896F6F" w:rsidRDefault="00800A61" w:rsidP="006B41F2">
      <w:pPr>
        <w:pStyle w:val="Policytext1"/>
        <w:numPr>
          <w:ilvl w:val="1"/>
          <w:numId w:val="9"/>
        </w:numPr>
        <w:ind w:left="720" w:hanging="720"/>
      </w:pPr>
      <w:r w:rsidRPr="00896F6F">
        <w:t>On-street parking should be clearly designated, managed, charged and restricted in volume. Parking areas should be allocated after providing adequate space for pedestrians, cyclists, trees and landscaping, and street vending.</w:t>
      </w:r>
    </w:p>
    <w:p w14:paraId="6D465E2F" w14:textId="77777777" w:rsidR="00800A61" w:rsidRPr="00896F6F" w:rsidRDefault="00800A61" w:rsidP="006B41F2">
      <w:pPr>
        <w:pStyle w:val="Policytext1"/>
        <w:numPr>
          <w:ilvl w:val="1"/>
          <w:numId w:val="9"/>
        </w:numPr>
        <w:ind w:left="720" w:hanging="720"/>
      </w:pPr>
      <w:r w:rsidRPr="00896F6F">
        <w:t xml:space="preserve">Parallel parking is the preferred parking layout in terms of the area occupied per car. The same parking layout can be used as perpendicular parking for two-wheelers. Parking bays will have a preferred width of 2 m, maximum width of 2.5 m, and length of 5 m. The same area can be used to park five two-wheelers. Additional buffer may have to be provided at either ends of the parking bay for safe entry </w:t>
      </w:r>
      <w:proofErr w:type="gramStart"/>
      <w:r w:rsidRPr="00896F6F">
        <w:t>and</w:t>
      </w:r>
      <w:proofErr w:type="gramEnd"/>
      <w:r w:rsidRPr="00896F6F">
        <w:t xml:space="preserve"> exit of vehicles from these parking bays.</w:t>
      </w:r>
    </w:p>
    <w:p w14:paraId="25CD599B" w14:textId="2078D49A" w:rsidR="00800A61" w:rsidRPr="00896F6F" w:rsidRDefault="00800A61" w:rsidP="00800A61">
      <w:pPr>
        <w:pStyle w:val="Policytext1"/>
        <w:numPr>
          <w:ilvl w:val="1"/>
          <w:numId w:val="9"/>
        </w:numPr>
        <w:ind w:left="720" w:hanging="720"/>
      </w:pPr>
      <w:r w:rsidRPr="00896F6F">
        <w:lastRenderedPageBreak/>
        <w:t>Unlike footpaths and cycle tracks, parking lanes need not be continuous. On-street parking may be provided where space is available in the public right-of-way, but authorities will prioritise the provision of NMT infr</w:t>
      </w:r>
      <w:r w:rsidR="00C8714B">
        <w:t>astructure.</w:t>
      </w:r>
    </w:p>
    <w:p w14:paraId="51F35212" w14:textId="77777777" w:rsidR="00800A61" w:rsidRPr="00896F6F" w:rsidRDefault="00800A61" w:rsidP="006B41F2">
      <w:pPr>
        <w:pStyle w:val="Policytext1"/>
        <w:numPr>
          <w:ilvl w:val="1"/>
          <w:numId w:val="9"/>
        </w:numPr>
        <w:ind w:left="720" w:hanging="720"/>
        <w:rPr>
          <w:rFonts w:ascii="Arial" w:eastAsia="Arial" w:hAnsi="Arial" w:cs="Arial"/>
        </w:rPr>
      </w:pPr>
      <w:bookmarkStart w:id="153" w:name="_wihp0eod2yju" w:colFirst="0" w:colLast="0"/>
      <w:bookmarkEnd w:id="153"/>
      <w:r w:rsidRPr="00896F6F">
        <w:t xml:space="preserve"> Parking signs will be erected that clearly communicate parking rules to the public. All signs will be located so as not to hinder pedestrian and cyclist movement, preferably in the furniture zone of the street.</w:t>
      </w:r>
    </w:p>
    <w:p w14:paraId="7EA0504E" w14:textId="77777777" w:rsidR="00800A61" w:rsidRPr="00896F6F" w:rsidRDefault="00800A61" w:rsidP="006B41F2">
      <w:pPr>
        <w:pStyle w:val="Policytext1"/>
        <w:numPr>
          <w:ilvl w:val="1"/>
          <w:numId w:val="9"/>
        </w:numPr>
        <w:ind w:left="720" w:hanging="720"/>
        <w:rPr>
          <w:rFonts w:ascii="Arial" w:eastAsia="Arial" w:hAnsi="Arial" w:cs="Arial"/>
        </w:rPr>
      </w:pPr>
      <w:r w:rsidRPr="00896F6F">
        <w:t>Designated parking is often laid with similar material used on the adjacent carriageway-asphalt or concrete. Differentiated surface material such as paver blocks may also be used to distinguish space allocated for parking.</w:t>
      </w:r>
    </w:p>
    <w:p w14:paraId="6735C362" w14:textId="77777777" w:rsidR="00800A61" w:rsidRPr="00896F6F" w:rsidRDefault="00800A61" w:rsidP="006B41F2">
      <w:pPr>
        <w:pStyle w:val="Policytext1"/>
        <w:numPr>
          <w:ilvl w:val="1"/>
          <w:numId w:val="9"/>
        </w:numPr>
        <w:ind w:left="720" w:hanging="720"/>
        <w:rPr>
          <w:rFonts w:ascii="Arial" w:eastAsia="Arial" w:hAnsi="Arial" w:cs="Arial"/>
        </w:rPr>
      </w:pPr>
      <w:r w:rsidRPr="00896F6F">
        <w:t>Bicycle parking spaces will be equipped with supporting infrastructure to lock the cycles.</w:t>
      </w:r>
    </w:p>
    <w:p w14:paraId="14957AF8" w14:textId="77777777" w:rsidR="00800A61" w:rsidRPr="00896F6F" w:rsidRDefault="00800A61" w:rsidP="006B41F2">
      <w:pPr>
        <w:pStyle w:val="Policyhead"/>
        <w:numPr>
          <w:ilvl w:val="0"/>
          <w:numId w:val="9"/>
        </w:numPr>
        <w:ind w:left="360"/>
      </w:pPr>
      <w:bookmarkStart w:id="154" w:name="_9ed888su1dz7" w:colFirst="0" w:colLast="0"/>
      <w:bookmarkStart w:id="155" w:name="_Toc525113202"/>
      <w:bookmarkEnd w:id="154"/>
      <w:r w:rsidRPr="00896F6F">
        <w:t>Storm water drainage</w:t>
      </w:r>
      <w:bookmarkEnd w:id="155"/>
    </w:p>
    <w:p w14:paraId="459B32F1" w14:textId="77777777" w:rsidR="00800A61" w:rsidRPr="00896F6F" w:rsidRDefault="00800A61" w:rsidP="006B41F2">
      <w:pPr>
        <w:pStyle w:val="Policytext1"/>
        <w:numPr>
          <w:ilvl w:val="1"/>
          <w:numId w:val="9"/>
        </w:numPr>
        <w:ind w:left="720" w:hanging="720"/>
      </w:pPr>
      <w:r>
        <w:t>C</w:t>
      </w:r>
      <w:r w:rsidRPr="00896F6F">
        <w:t>ity-wide storm water management master plan</w:t>
      </w:r>
      <w:r>
        <w:t>s will be developed</w:t>
      </w:r>
      <w:r w:rsidRPr="00896F6F">
        <w:t xml:space="preserve"> to address potential flooding and nonpoint source pollution. The master plan will consider the increasing demand for additional storm water capacity, the topography of an area and study of water body outlets.</w:t>
      </w:r>
    </w:p>
    <w:p w14:paraId="6DFE1FE4" w14:textId="77777777" w:rsidR="00800A61" w:rsidRPr="00896F6F" w:rsidRDefault="00800A61" w:rsidP="006B41F2">
      <w:pPr>
        <w:pStyle w:val="Policytext1"/>
        <w:numPr>
          <w:ilvl w:val="1"/>
          <w:numId w:val="9"/>
        </w:numPr>
        <w:ind w:left="720" w:hanging="720"/>
      </w:pPr>
      <w:r w:rsidRPr="00896F6F">
        <w:t>Decisions regarding street designs will utilise techniques that reduce the impacts on the storm water system and increase the permeable surface area, through the planting of some trees and landscaping, and minimising unnecessary pavement. Design treatments will reduce storm water overflow and support the health and maintenance of street trees and landscaping.</w:t>
      </w:r>
    </w:p>
    <w:p w14:paraId="491A4D96" w14:textId="77777777" w:rsidR="00800A61" w:rsidRPr="00896F6F" w:rsidRDefault="00800A61" w:rsidP="006B41F2">
      <w:pPr>
        <w:pStyle w:val="Policytext1"/>
        <w:numPr>
          <w:ilvl w:val="1"/>
          <w:numId w:val="9"/>
        </w:numPr>
        <w:ind w:left="720" w:hanging="720"/>
      </w:pPr>
      <w:r w:rsidRPr="00896F6F">
        <w:t xml:space="preserve">Storm water </w:t>
      </w:r>
      <w:r>
        <w:t>drains</w:t>
      </w:r>
      <w:r w:rsidRPr="00896F6F">
        <w:t xml:space="preserve"> will be designed based on local hydrology data. The size of the </w:t>
      </w:r>
      <w:r>
        <w:t>drain</w:t>
      </w:r>
      <w:r w:rsidRPr="00896F6F">
        <w:t xml:space="preserve"> begins at</w:t>
      </w:r>
      <w:r>
        <w:t xml:space="preserve"> minimum</w:t>
      </w:r>
      <w:r w:rsidRPr="00896F6F">
        <w:t xml:space="preserve"> </w:t>
      </w:r>
      <w:r>
        <w:t>450</w:t>
      </w:r>
      <w:r w:rsidRPr="00896F6F">
        <w:t xml:space="preserve"> mm at the start point and then varies based on the capacity at the outflow point. The depth of the catch pit can vary from 450–</w:t>
      </w:r>
      <w:r>
        <w:t>1,0</w:t>
      </w:r>
      <w:r w:rsidRPr="00896F6F">
        <w:t>00 mm.</w:t>
      </w:r>
    </w:p>
    <w:p w14:paraId="111F52BB" w14:textId="77777777" w:rsidR="00800A61" w:rsidRPr="00896F6F" w:rsidRDefault="00800A61" w:rsidP="006B41F2">
      <w:pPr>
        <w:pStyle w:val="Policytext1"/>
        <w:numPr>
          <w:ilvl w:val="1"/>
          <w:numId w:val="9"/>
        </w:numPr>
        <w:ind w:left="720" w:hanging="720"/>
      </w:pPr>
      <w:r w:rsidRPr="00896F6F">
        <w:t>Catch pits will be located in the buffer at regular intervals, depending on their size and the catchment area, and the lowest point of the street cross section. The lowest point in the cross section will occur on the carriageway; and, footpath, cycle track, bus stops, and street vending areas will be at a higher level.</w:t>
      </w:r>
    </w:p>
    <w:p w14:paraId="23F033DA" w14:textId="070CAE80" w:rsidR="00800A61" w:rsidRPr="00896F6F" w:rsidRDefault="00800A61" w:rsidP="00800A61">
      <w:pPr>
        <w:pStyle w:val="Policytext1"/>
        <w:numPr>
          <w:ilvl w:val="1"/>
          <w:numId w:val="9"/>
        </w:numPr>
        <w:ind w:left="720" w:hanging="720"/>
      </w:pPr>
      <w:r w:rsidRPr="00896F6F">
        <w:t>Manholes are generally located on footpath and its cover will be flushed for smooth through movement of pedestrians. They will be avoided on cycle tracks and if unavoidable, will be level with the surrounding surface.</w:t>
      </w:r>
    </w:p>
    <w:p w14:paraId="510200DF" w14:textId="77777777" w:rsidR="00800A61" w:rsidRPr="00896F6F" w:rsidRDefault="00800A61" w:rsidP="006B41F2">
      <w:pPr>
        <w:pStyle w:val="Policytext1"/>
        <w:numPr>
          <w:ilvl w:val="1"/>
          <w:numId w:val="9"/>
        </w:numPr>
        <w:ind w:left="720" w:hanging="720"/>
      </w:pPr>
      <w:r w:rsidRPr="00896F6F">
        <w:t>Drain lines will be laid at approximate 2 per cent incline to encourage gravitational flow of water. Incline of the road also serves as a channel for storm water, directing it into catch pits that are protected with grating to prevent solid waste from entering the chambers.</w:t>
      </w:r>
    </w:p>
    <w:p w14:paraId="54E83A36" w14:textId="77777777" w:rsidR="00800A61" w:rsidRPr="00896F6F" w:rsidRDefault="00800A61" w:rsidP="006B41F2">
      <w:pPr>
        <w:pStyle w:val="Policytext1"/>
        <w:numPr>
          <w:ilvl w:val="1"/>
          <w:numId w:val="9"/>
        </w:numPr>
        <w:ind w:left="720" w:hanging="720"/>
      </w:pPr>
      <w:r w:rsidRPr="00896F6F">
        <w:t xml:space="preserve">Catch pits are designed such that silt collection happens in the chamber trough before the water flows through the </w:t>
      </w:r>
      <w:r>
        <w:t>concrete</w:t>
      </w:r>
      <w:r w:rsidRPr="00896F6F">
        <w:t xml:space="preserve"> pies into the main storm water drain and it can be periodically cleared.</w:t>
      </w:r>
    </w:p>
    <w:p w14:paraId="6C0E033B" w14:textId="77777777" w:rsidR="00800A61" w:rsidRPr="00896F6F" w:rsidRDefault="00800A61" w:rsidP="006B41F2">
      <w:pPr>
        <w:pStyle w:val="Policyhead"/>
        <w:numPr>
          <w:ilvl w:val="0"/>
          <w:numId w:val="9"/>
        </w:numPr>
        <w:ind w:left="360"/>
      </w:pPr>
      <w:bookmarkStart w:id="156" w:name="_Toc525113203"/>
      <w:r w:rsidRPr="00896F6F">
        <w:t>Other utilities</w:t>
      </w:r>
      <w:bookmarkEnd w:id="156"/>
    </w:p>
    <w:p w14:paraId="709ED190" w14:textId="77777777" w:rsidR="00800A61" w:rsidRPr="00896F6F" w:rsidRDefault="00800A61" w:rsidP="006B41F2">
      <w:pPr>
        <w:pStyle w:val="Policytext1"/>
        <w:numPr>
          <w:ilvl w:val="1"/>
          <w:numId w:val="9"/>
        </w:numPr>
        <w:ind w:left="720" w:hanging="720"/>
      </w:pPr>
      <w:r>
        <w:lastRenderedPageBreak/>
        <w:t>Local authorities, road agencies, and</w:t>
      </w:r>
      <w:r w:rsidRPr="00896F6F">
        <w:t xml:space="preserve"> service utility providers </w:t>
      </w:r>
      <w:r>
        <w:t xml:space="preserve">will work together </w:t>
      </w:r>
      <w:r w:rsidRPr="00896F6F">
        <w:t>to ensure that access points for storm water, sewage, electricity, telecommunications, and other services meet standards.</w:t>
      </w:r>
    </w:p>
    <w:p w14:paraId="17DA6725" w14:textId="77777777" w:rsidR="00800A61" w:rsidRPr="00896F6F" w:rsidRDefault="00800A61" w:rsidP="006B41F2">
      <w:pPr>
        <w:pStyle w:val="Policytext1"/>
        <w:numPr>
          <w:ilvl w:val="1"/>
          <w:numId w:val="9"/>
        </w:numPr>
        <w:ind w:left="720" w:hanging="720"/>
      </w:pPr>
      <w:r>
        <w:t>S</w:t>
      </w:r>
      <w:r w:rsidRPr="00896F6F">
        <w:t xml:space="preserve">ervice utility providers </w:t>
      </w:r>
      <w:r>
        <w:t>will</w:t>
      </w:r>
      <w:r w:rsidRPr="00896F6F">
        <w:t xml:space="preserve"> ensure that access points for storm water, sewage, electricity, telecommunications, and other services are designed in such a way that they do not conflict with NMT user movements; manhole covers should be in level with footpaths, cycle tracks, and the surfaces of other NMT facilities; and, utility access points should be designed to minimise disruption during maintenance.</w:t>
      </w:r>
    </w:p>
    <w:p w14:paraId="30B3A439" w14:textId="77777777" w:rsidR="00800A61" w:rsidRPr="00896F6F" w:rsidRDefault="00800A61" w:rsidP="006B41F2">
      <w:pPr>
        <w:pStyle w:val="Policyhead"/>
        <w:numPr>
          <w:ilvl w:val="0"/>
          <w:numId w:val="9"/>
        </w:numPr>
        <w:ind w:left="360"/>
      </w:pPr>
      <w:bookmarkStart w:id="157" w:name="_Ref469498846"/>
      <w:bookmarkStart w:id="158" w:name="_Toc525113204"/>
      <w:r w:rsidRPr="00896F6F">
        <w:t>Cycle tracks</w:t>
      </w:r>
      <w:bookmarkEnd w:id="157"/>
      <w:bookmarkEnd w:id="158"/>
    </w:p>
    <w:p w14:paraId="76AFF7DE" w14:textId="77777777" w:rsidR="00800A61" w:rsidRPr="00896F6F" w:rsidRDefault="00800A61" w:rsidP="006B41F2">
      <w:pPr>
        <w:pStyle w:val="Policytext1"/>
        <w:numPr>
          <w:ilvl w:val="1"/>
          <w:numId w:val="9"/>
        </w:numPr>
        <w:ind w:left="720" w:hanging="720"/>
      </w:pPr>
      <w:r w:rsidRPr="00896F6F">
        <w:t>Cycle tracks will have at least 2 m of clear space per direction for one-way movement and 3 m for two-way movement. They will be elevated 100-150 mm above the carriageway. A buffer of 0.5 m between the cycle track and parking areas or the carriageway will be constructed.</w:t>
      </w:r>
    </w:p>
    <w:p w14:paraId="57C505B2" w14:textId="77777777" w:rsidR="00800A61" w:rsidRPr="00896F6F" w:rsidRDefault="00800A61" w:rsidP="006B41F2">
      <w:pPr>
        <w:pStyle w:val="Policytext1"/>
        <w:numPr>
          <w:ilvl w:val="1"/>
          <w:numId w:val="9"/>
        </w:numPr>
        <w:ind w:left="720" w:hanging="720"/>
      </w:pPr>
      <w:r w:rsidRPr="00896F6F">
        <w:t>Cycle tracks should have a smooth surface</w:t>
      </w:r>
      <w:r w:rsidRPr="00896F6F">
        <w:softHyphen/>
        <w:t>: asphalt or concrete. Paver blocks should be avoided.</w:t>
      </w:r>
    </w:p>
    <w:p w14:paraId="3C7855DB" w14:textId="77777777" w:rsidR="00800A61" w:rsidRPr="00896F6F" w:rsidRDefault="00800A61" w:rsidP="006B41F2">
      <w:pPr>
        <w:pStyle w:val="Policytext1"/>
        <w:numPr>
          <w:ilvl w:val="1"/>
          <w:numId w:val="9"/>
        </w:numPr>
        <w:ind w:left="720" w:hanging="720"/>
      </w:pPr>
      <w:r w:rsidRPr="00896F6F">
        <w:t xml:space="preserve">Painted cycle tracks, without segregation, will be discouraged as they are likely to be encroached by parked vehicles. </w:t>
      </w:r>
    </w:p>
    <w:p w14:paraId="6BA7D4BB" w14:textId="12AD701F" w:rsidR="00800A61" w:rsidRPr="00896F6F" w:rsidRDefault="00800A61" w:rsidP="00801096">
      <w:pPr>
        <w:pStyle w:val="Policytext1"/>
        <w:numPr>
          <w:ilvl w:val="1"/>
          <w:numId w:val="9"/>
        </w:numPr>
        <w:ind w:left="720" w:hanging="720"/>
      </w:pPr>
      <w:r w:rsidRPr="00896F6F">
        <w:t xml:space="preserve">Cycle tracks should be provided on streets that have more than 100 motor vehicles and 400 cyclists during peak hour. On routes with more than 200 motor vehicles per hour, cycle tracks should be provided even if the cycle traffic is less than 100 per hour. </w:t>
      </w:r>
    </w:p>
    <w:p w14:paraId="7A7E7A68" w14:textId="77777777" w:rsidR="00800A61" w:rsidRPr="00896F6F" w:rsidRDefault="00800A61" w:rsidP="006B41F2">
      <w:pPr>
        <w:pStyle w:val="Policyhead"/>
        <w:numPr>
          <w:ilvl w:val="0"/>
          <w:numId w:val="9"/>
        </w:numPr>
        <w:ind w:left="360"/>
      </w:pPr>
      <w:bookmarkStart w:id="159" w:name="_bcoq9to93xin" w:colFirst="0" w:colLast="0"/>
      <w:bookmarkStart w:id="160" w:name="_Ref470568094"/>
      <w:bookmarkStart w:id="161" w:name="_Toc525113205"/>
      <w:bookmarkEnd w:id="159"/>
      <w:r w:rsidRPr="00896F6F">
        <w:t>Traffic calming elements</w:t>
      </w:r>
      <w:bookmarkEnd w:id="160"/>
      <w:bookmarkEnd w:id="161"/>
    </w:p>
    <w:p w14:paraId="612ADF24" w14:textId="77777777" w:rsidR="00800A61" w:rsidRPr="00896F6F" w:rsidRDefault="00800A61" w:rsidP="006B41F2">
      <w:pPr>
        <w:pStyle w:val="Policytext1"/>
        <w:numPr>
          <w:ilvl w:val="1"/>
          <w:numId w:val="9"/>
        </w:numPr>
        <w:ind w:left="720" w:hanging="720"/>
      </w:pPr>
      <w:r w:rsidRPr="00896F6F">
        <w:t>Traffic calming elements ensure pedestrian and vehicle safety by reducing at least speed and potentially also the volume of motor vehicles. Traffic calming slows down vehicles through vertical displacements, horizontal displacement, real or perceived narrowing of carriageway, material/colour changes that signal conflict point, or complete closure of a street.</w:t>
      </w:r>
    </w:p>
    <w:p w14:paraId="44BF4F8E" w14:textId="77777777" w:rsidR="00800A61" w:rsidRPr="00896F6F" w:rsidRDefault="00800A61" w:rsidP="006B41F2">
      <w:pPr>
        <w:pStyle w:val="Policytext1"/>
        <w:numPr>
          <w:ilvl w:val="1"/>
          <w:numId w:val="9"/>
        </w:numPr>
        <w:ind w:left="720" w:hanging="720"/>
      </w:pPr>
      <w:r w:rsidRPr="00896F6F">
        <w:t xml:space="preserve">Raised </w:t>
      </w:r>
      <w:r>
        <w:t>zebra</w:t>
      </w:r>
      <w:r w:rsidRPr="00896F6F">
        <w:t xml:space="preserve"> </w:t>
      </w:r>
      <w:r>
        <w:t xml:space="preserve">pedestrian crossings will be implemented as </w:t>
      </w:r>
      <w:r w:rsidRPr="00896F6F">
        <w:t xml:space="preserve">traffic calming elements (see Section </w:t>
      </w:r>
      <w:r w:rsidRPr="00896F6F">
        <w:fldChar w:fldCharType="begin"/>
      </w:r>
      <w:r w:rsidRPr="00896F6F">
        <w:instrText xml:space="preserve"> REF _Ref470568049 \r \h </w:instrText>
      </w:r>
      <w:r w:rsidRPr="00896F6F">
        <w:fldChar w:fldCharType="separate"/>
      </w:r>
      <w:r>
        <w:t>4.3</w:t>
      </w:r>
      <w:r w:rsidRPr="00896F6F">
        <w:fldChar w:fldCharType="end"/>
      </w:r>
      <w:r w:rsidRPr="00896F6F">
        <w:t>).</w:t>
      </w:r>
    </w:p>
    <w:p w14:paraId="7A5BCE81" w14:textId="77777777" w:rsidR="00800A61" w:rsidRPr="00896F6F" w:rsidRDefault="00800A61" w:rsidP="006B41F2">
      <w:pPr>
        <w:pStyle w:val="Policytext1"/>
        <w:numPr>
          <w:ilvl w:val="1"/>
          <w:numId w:val="9"/>
        </w:numPr>
        <w:ind w:left="720" w:hanging="720"/>
      </w:pPr>
      <w:r w:rsidRPr="00896F6F">
        <w:t>Pedestrian islands of varying shapes, sizes, and located, will be located within the right-of-way in shared spaces. Pedestrian islands require vehicles to navigate around them, thus, reducing vehicle speeds.</w:t>
      </w:r>
    </w:p>
    <w:p w14:paraId="2F0E157D" w14:textId="77777777" w:rsidR="00800A61" w:rsidRPr="00896F6F" w:rsidRDefault="00800A61" w:rsidP="006B41F2">
      <w:pPr>
        <w:pStyle w:val="Policytext1"/>
        <w:numPr>
          <w:ilvl w:val="1"/>
          <w:numId w:val="9"/>
        </w:numPr>
        <w:ind w:left="720" w:hanging="720"/>
      </w:pPr>
      <w:r w:rsidRPr="00896F6F">
        <w:t>Parallel parking lanes can be designed as chicanes, alternating between the two sides of a street to prevent vehicles from speeding.</w:t>
      </w:r>
    </w:p>
    <w:p w14:paraId="4A5B222B" w14:textId="77777777" w:rsidR="00800A61" w:rsidRPr="00896F6F" w:rsidRDefault="00800A61" w:rsidP="006B41F2">
      <w:pPr>
        <w:pStyle w:val="Policyhead"/>
        <w:numPr>
          <w:ilvl w:val="0"/>
          <w:numId w:val="9"/>
        </w:numPr>
        <w:ind w:left="360"/>
      </w:pPr>
      <w:bookmarkStart w:id="162" w:name="_Toc525113206"/>
      <w:r w:rsidRPr="00896F6F">
        <w:t>Carriageway</w:t>
      </w:r>
      <w:bookmarkEnd w:id="162"/>
    </w:p>
    <w:p w14:paraId="253AA995" w14:textId="77777777" w:rsidR="00800A61" w:rsidRPr="00896F6F" w:rsidRDefault="00800A61" w:rsidP="006B41F2">
      <w:pPr>
        <w:pStyle w:val="Policytext1"/>
        <w:numPr>
          <w:ilvl w:val="1"/>
          <w:numId w:val="9"/>
        </w:numPr>
        <w:ind w:left="720" w:hanging="720"/>
      </w:pPr>
      <w:r w:rsidRPr="00896F6F">
        <w:t>The primary purpose of a carriageway is vehicle mobility. A carriageway provides dedicated space in the middle of the street right-of-way for motorised vehicles that is separated from space for walking, cycling and stationary activities.</w:t>
      </w:r>
    </w:p>
    <w:p w14:paraId="56888A6D" w14:textId="77777777" w:rsidR="00800A61" w:rsidRPr="00896F6F" w:rsidRDefault="00800A61" w:rsidP="006B41F2">
      <w:pPr>
        <w:pStyle w:val="Policytext1"/>
        <w:numPr>
          <w:ilvl w:val="1"/>
          <w:numId w:val="9"/>
        </w:numPr>
        <w:ind w:left="720" w:hanging="720"/>
      </w:pPr>
      <w:r w:rsidRPr="00896F6F">
        <w:lastRenderedPageBreak/>
        <w:t>Street space will be allocated to the carriageway after adequate usable space has been reserved for walking, cycling, street vending and trees. Otherwise, such activities will spill over onto the carriageway, compromising motor vehicle through</w:t>
      </w:r>
      <w:r>
        <w:t>o</w:t>
      </w:r>
      <w:r w:rsidRPr="00896F6F">
        <w:t>ut as well as the safety and comfort of all users.</w:t>
      </w:r>
    </w:p>
    <w:p w14:paraId="4F335482" w14:textId="77777777" w:rsidR="00800A61" w:rsidRPr="00896F6F" w:rsidRDefault="00800A61" w:rsidP="006B41F2">
      <w:pPr>
        <w:pStyle w:val="Policytext1"/>
        <w:numPr>
          <w:ilvl w:val="1"/>
          <w:numId w:val="9"/>
        </w:numPr>
        <w:ind w:left="720" w:hanging="720"/>
      </w:pPr>
      <w:r>
        <w:t>V</w:t>
      </w:r>
      <w:r w:rsidRPr="00896F6F">
        <w:t xml:space="preserve">ehicle carriageways </w:t>
      </w:r>
      <w:r>
        <w:t>should</w:t>
      </w:r>
      <w:r w:rsidRPr="00896F6F">
        <w:t xml:space="preserve"> maintain</w:t>
      </w:r>
      <w:r>
        <w:t xml:space="preserve"> </w:t>
      </w:r>
      <w:r w:rsidRPr="00896F6F">
        <w:t>a constant width to ensure a smooth flow of vehicles.</w:t>
      </w:r>
    </w:p>
    <w:p w14:paraId="7F3DE20E" w14:textId="77777777" w:rsidR="00800A61" w:rsidRPr="00896F6F" w:rsidRDefault="00800A61" w:rsidP="006B41F2">
      <w:pPr>
        <w:pStyle w:val="Policytext1"/>
        <w:numPr>
          <w:ilvl w:val="1"/>
          <w:numId w:val="9"/>
        </w:numPr>
        <w:ind w:left="720" w:hanging="720"/>
      </w:pPr>
      <w:r>
        <w:t>A</w:t>
      </w:r>
      <w:r w:rsidRPr="00896F6F">
        <w:t xml:space="preserve"> variety of traffic calming techniques, including reduced carriageway widths and speed breakers at frequent intervals</w:t>
      </w:r>
      <w:r>
        <w:t>,</w:t>
      </w:r>
      <w:r w:rsidRPr="00896F6F">
        <w:t xml:space="preserve"> </w:t>
      </w:r>
      <w:r>
        <w:t>can</w:t>
      </w:r>
      <w:r w:rsidRPr="00896F6F">
        <w:t xml:space="preserve"> reduce motor vehicle speeds (see Section </w:t>
      </w:r>
      <w:r w:rsidRPr="00896F6F">
        <w:fldChar w:fldCharType="begin"/>
      </w:r>
      <w:r w:rsidRPr="00896F6F">
        <w:instrText xml:space="preserve"> REF _Ref470568094 \r \h </w:instrText>
      </w:r>
      <w:r w:rsidRPr="00896F6F">
        <w:fldChar w:fldCharType="separate"/>
      </w:r>
      <w:r>
        <w:t>16</w:t>
      </w:r>
      <w:r w:rsidRPr="00896F6F">
        <w:fldChar w:fldCharType="end"/>
      </w:r>
      <w:r w:rsidRPr="00896F6F">
        <w:t>).</w:t>
      </w:r>
    </w:p>
    <w:p w14:paraId="04162355" w14:textId="77777777" w:rsidR="00800A61" w:rsidRPr="00896F6F" w:rsidRDefault="00800A61" w:rsidP="006B41F2">
      <w:pPr>
        <w:pStyle w:val="Policytext1"/>
        <w:numPr>
          <w:ilvl w:val="1"/>
          <w:numId w:val="9"/>
        </w:numPr>
        <w:ind w:left="720" w:hanging="720"/>
      </w:pPr>
      <w:r w:rsidRPr="00896F6F">
        <w:t>Carriageway designs will be tailored to the purpose of the street:</w:t>
      </w:r>
    </w:p>
    <w:p w14:paraId="60562B40" w14:textId="77777777" w:rsidR="00800A61" w:rsidRPr="00896F6F" w:rsidRDefault="00800A61" w:rsidP="006B41F2">
      <w:pPr>
        <w:pStyle w:val="Policytext2"/>
        <w:numPr>
          <w:ilvl w:val="2"/>
          <w:numId w:val="9"/>
        </w:numPr>
        <w:ind w:left="1440" w:hanging="720"/>
      </w:pPr>
      <w:r w:rsidRPr="00896F6F">
        <w:t xml:space="preserve">On local streets, carriageways will be designed as shared spaces where motor vehicles, pedestrians and cyclists coexist. Speeds in shared spaces will be </w:t>
      </w:r>
      <w:r>
        <w:t>maintained at</w:t>
      </w:r>
      <w:r w:rsidRPr="00896F6F">
        <w:t xml:space="preserve"> </w:t>
      </w:r>
      <w:r>
        <w:t>20</w:t>
      </w:r>
      <w:r w:rsidRPr="00896F6F">
        <w:t xml:space="preserve"> km/h</w:t>
      </w:r>
      <w:r>
        <w:t xml:space="preserve"> or less</w:t>
      </w:r>
      <w:r w:rsidRPr="00896F6F">
        <w:t xml:space="preserve"> through traffic calming elements to ensure safety of pedestrians and cyclists.</w:t>
      </w:r>
    </w:p>
    <w:p w14:paraId="64C61901" w14:textId="77777777" w:rsidR="00800A61" w:rsidRPr="00896F6F" w:rsidRDefault="00800A61" w:rsidP="006B41F2">
      <w:pPr>
        <w:pStyle w:val="Policytext2"/>
        <w:numPr>
          <w:ilvl w:val="2"/>
          <w:numId w:val="9"/>
        </w:numPr>
        <w:ind w:left="1440" w:hanging="720"/>
      </w:pPr>
      <w:r w:rsidRPr="00896F6F">
        <w:t>On minor collector streets, carriageway</w:t>
      </w:r>
      <w:r>
        <w:t>s</w:t>
      </w:r>
      <w:r w:rsidRPr="00896F6F">
        <w:t xml:space="preserve"> will have a maximum width of 6.5 m for two-way movement, with adequate traffic calming elements to maintain vehicle speeds at 30 km/h</w:t>
      </w:r>
      <w:r>
        <w:t xml:space="preserve"> or less</w:t>
      </w:r>
      <w:r w:rsidRPr="00896F6F">
        <w:t>.</w:t>
      </w:r>
    </w:p>
    <w:p w14:paraId="1EBA24A4" w14:textId="77777777" w:rsidR="00800A61" w:rsidRPr="00896F6F" w:rsidRDefault="00800A61" w:rsidP="006B41F2">
      <w:pPr>
        <w:pStyle w:val="Policytext2"/>
        <w:numPr>
          <w:ilvl w:val="2"/>
          <w:numId w:val="9"/>
        </w:numPr>
        <w:ind w:left="1440" w:hanging="720"/>
      </w:pPr>
      <w:r w:rsidRPr="00896F6F">
        <w:t>On major collector streets, carriageway</w:t>
      </w:r>
      <w:r>
        <w:t>s</w:t>
      </w:r>
      <w:r w:rsidRPr="00896F6F">
        <w:t xml:space="preserve"> will</w:t>
      </w:r>
      <w:r>
        <w:t xml:space="preserve"> have lane widths of 2.75-3.25 m (3.0 m preferred) and </w:t>
      </w:r>
      <w:r w:rsidRPr="00896F6F">
        <w:t>a 1</w:t>
      </w:r>
      <w:r>
        <w:t xml:space="preserve"> </w:t>
      </w:r>
      <w:r w:rsidRPr="00896F6F">
        <w:t>m median that has frequent cuts for vehicle movement. Vehicle</w:t>
      </w:r>
      <w:r>
        <w:t xml:space="preserve"> speed should be maintained at </w:t>
      </w:r>
      <w:r w:rsidRPr="00896F6F">
        <w:t>40 km/h</w:t>
      </w:r>
      <w:r>
        <w:t xml:space="preserve"> or less</w:t>
      </w:r>
      <w:r w:rsidRPr="00896F6F">
        <w:t>.</w:t>
      </w:r>
    </w:p>
    <w:p w14:paraId="661C62EB" w14:textId="77777777" w:rsidR="00800A61" w:rsidRPr="00896F6F" w:rsidRDefault="00800A61" w:rsidP="006B41F2">
      <w:pPr>
        <w:pStyle w:val="Policytext2"/>
        <w:numPr>
          <w:ilvl w:val="2"/>
          <w:numId w:val="9"/>
        </w:numPr>
        <w:ind w:left="1440" w:hanging="720"/>
      </w:pPr>
      <w:r w:rsidRPr="00896F6F">
        <w:t>On arterial streets, carriageway</w:t>
      </w:r>
      <w:r>
        <w:t>s</w:t>
      </w:r>
      <w:r w:rsidRPr="00896F6F">
        <w:t xml:space="preserve"> will</w:t>
      </w:r>
      <w:r>
        <w:t xml:space="preserve"> have lane widths of 3.0-3.5 m (3.25 m preferred) and </w:t>
      </w:r>
      <w:r w:rsidRPr="00896F6F">
        <w:t>a 1</w:t>
      </w:r>
      <w:r>
        <w:t xml:space="preserve">-2 </w:t>
      </w:r>
      <w:r w:rsidRPr="00896F6F">
        <w:t>m median</w:t>
      </w:r>
      <w:r>
        <w:t xml:space="preserve"> without </w:t>
      </w:r>
      <w:r w:rsidRPr="00896F6F">
        <w:t>cuts for vehicle movement except at intersections. Vehicle</w:t>
      </w:r>
      <w:r>
        <w:t xml:space="preserve"> speed should be maintained at </w:t>
      </w:r>
      <w:r w:rsidRPr="00896F6F">
        <w:t>50 km/h</w:t>
      </w:r>
      <w:r>
        <w:t xml:space="preserve"> or less</w:t>
      </w:r>
      <w:r w:rsidRPr="00896F6F">
        <w:t>.</w:t>
      </w:r>
    </w:p>
    <w:p w14:paraId="6A0BCC2D" w14:textId="77777777" w:rsidR="00800A61" w:rsidRPr="00896F6F" w:rsidRDefault="00800A61" w:rsidP="006B41F2">
      <w:pPr>
        <w:pStyle w:val="Policytext1"/>
        <w:numPr>
          <w:ilvl w:val="1"/>
          <w:numId w:val="9"/>
        </w:numPr>
        <w:ind w:left="720" w:hanging="720"/>
      </w:pPr>
      <w:r>
        <w:t>O</w:t>
      </w:r>
      <w:r w:rsidRPr="00896F6F">
        <w:t>ne-way carriageways</w:t>
      </w:r>
      <w:r>
        <w:t xml:space="preserve"> should be avoided</w:t>
      </w:r>
      <w:r w:rsidRPr="00896F6F">
        <w:t xml:space="preserve"> unless they are necessary to accommodate rapid transit (such as BRT) corridors or pedestrian zones. Where one-way streets are sanctioned, two-way movement for NMT modes</w:t>
      </w:r>
      <w:r>
        <w:t xml:space="preserve"> will be allowed</w:t>
      </w:r>
      <w:r w:rsidRPr="00896F6F">
        <w:t>.</w:t>
      </w:r>
    </w:p>
    <w:p w14:paraId="61A4CF62" w14:textId="77777777" w:rsidR="00800A61" w:rsidRPr="00896F6F" w:rsidRDefault="00800A61" w:rsidP="006B41F2">
      <w:pPr>
        <w:pStyle w:val="Policyhead"/>
        <w:numPr>
          <w:ilvl w:val="0"/>
          <w:numId w:val="9"/>
        </w:numPr>
        <w:ind w:left="360"/>
      </w:pPr>
      <w:bookmarkStart w:id="163" w:name="_Toc525113207"/>
      <w:r w:rsidRPr="00896F6F">
        <w:t>Bus rapid transit</w:t>
      </w:r>
      <w:bookmarkEnd w:id="163"/>
    </w:p>
    <w:p w14:paraId="0AB4D82B" w14:textId="77777777" w:rsidR="00800A61" w:rsidRPr="00896F6F" w:rsidRDefault="00800A61" w:rsidP="006B41F2">
      <w:pPr>
        <w:pStyle w:val="Policytext1"/>
        <w:numPr>
          <w:ilvl w:val="1"/>
          <w:numId w:val="9"/>
        </w:numPr>
        <w:ind w:left="720" w:hanging="720"/>
      </w:pPr>
      <w:r>
        <w:t>Local authorities will be encouraged to develop</w:t>
      </w:r>
      <w:r w:rsidRPr="00896F6F">
        <w:t xml:space="preserve"> city-wide mass rapid transit network plan</w:t>
      </w:r>
      <w:r>
        <w:t>s</w:t>
      </w:r>
      <w:r w:rsidRPr="00896F6F">
        <w:t>, including bus rapid transit (BRT) corridors that offer high-capacity and high-quality public transport by providing an exclusive right-of-way for BRT buses.</w:t>
      </w:r>
    </w:p>
    <w:p w14:paraId="56D59CDF" w14:textId="4E0BDBFC" w:rsidR="00800A61" w:rsidRPr="00896F6F" w:rsidRDefault="00800A61" w:rsidP="006B41F2">
      <w:pPr>
        <w:pStyle w:val="Policytext1"/>
        <w:numPr>
          <w:ilvl w:val="1"/>
          <w:numId w:val="9"/>
        </w:numPr>
        <w:ind w:left="720" w:hanging="720"/>
      </w:pPr>
      <w:r w:rsidRPr="00896F6F">
        <w:t xml:space="preserve">A BRT should be sited on street with moderate to high demand for public transport that is over 2,000 </w:t>
      </w:r>
      <w:r w:rsidR="00801096" w:rsidRPr="00896F6F">
        <w:t>p</w:t>
      </w:r>
      <w:r w:rsidR="00801096">
        <w:t>assenger per hour per direction.</w:t>
      </w:r>
      <w:r w:rsidRPr="00896F6F">
        <w:t xml:space="preserve"> A </w:t>
      </w:r>
      <w:proofErr w:type="gramStart"/>
      <w:r w:rsidRPr="00896F6F">
        <w:t>well designed</w:t>
      </w:r>
      <w:proofErr w:type="gramEnd"/>
      <w:r w:rsidRPr="00896F6F">
        <w:t xml:space="preserve"> BRT sys</w:t>
      </w:r>
      <w:r w:rsidR="00801096">
        <w:t xml:space="preserve">tem can carry up to 45,000 </w:t>
      </w:r>
      <w:r w:rsidR="00801096" w:rsidRPr="00896F6F">
        <w:t>p</w:t>
      </w:r>
      <w:r w:rsidR="00801096">
        <w:t>assenger per hour per direction</w:t>
      </w:r>
      <w:r w:rsidRPr="00896F6F">
        <w:t>.</w:t>
      </w:r>
    </w:p>
    <w:p w14:paraId="5BEFFA24" w14:textId="77777777" w:rsidR="00800A61" w:rsidRPr="00896F6F" w:rsidRDefault="00800A61" w:rsidP="006B41F2">
      <w:pPr>
        <w:pStyle w:val="Policytext1"/>
        <w:numPr>
          <w:ilvl w:val="1"/>
          <w:numId w:val="9"/>
        </w:numPr>
        <w:ind w:left="720" w:hanging="720"/>
      </w:pPr>
      <w:r w:rsidRPr="00896F6F">
        <w:t>BRT corridors will have dedicated median bus lanes that are physically separated from mixed traffic lanes. Dedicated lanes are crucial for ensuring the buses can move quickly and avoid congestion. The width of a BRT lane will be 3.5 m, plus 0.3-0.5 m buffer space next to mixed traffic.</w:t>
      </w:r>
    </w:p>
    <w:p w14:paraId="205C1CD5" w14:textId="77777777" w:rsidR="00800A61" w:rsidRPr="00896F6F" w:rsidRDefault="00800A61" w:rsidP="006B41F2">
      <w:pPr>
        <w:pStyle w:val="Policytext1"/>
        <w:numPr>
          <w:ilvl w:val="1"/>
          <w:numId w:val="9"/>
        </w:numPr>
        <w:ind w:left="720" w:hanging="720"/>
      </w:pPr>
      <w:r w:rsidRPr="00896F6F">
        <w:lastRenderedPageBreak/>
        <w:t>The BRT system will have high quality stations with platforms that match the level of the bus so that passengers can enter and exit quickly and easily without climbing steps. Centrally located BRT station require 3-4 m in the cross section. Larger widths may be required if the demand is high.</w:t>
      </w:r>
    </w:p>
    <w:p w14:paraId="08CAE47C" w14:textId="77777777" w:rsidR="00800A61" w:rsidRPr="00896F6F" w:rsidRDefault="00800A61" w:rsidP="006B41F2">
      <w:pPr>
        <w:pStyle w:val="Policytext1"/>
        <w:numPr>
          <w:ilvl w:val="1"/>
          <w:numId w:val="9"/>
        </w:numPr>
        <w:ind w:left="720" w:hanging="720"/>
      </w:pPr>
      <w:r w:rsidRPr="00896F6F">
        <w:t>Stations will be equipped with smart off-board fare collection to enhance passenger convenience and improve efficiency.</w:t>
      </w:r>
    </w:p>
    <w:p w14:paraId="6AAC1900" w14:textId="77777777" w:rsidR="00800A61" w:rsidRPr="00896F6F" w:rsidRDefault="00800A61" w:rsidP="006B41F2">
      <w:pPr>
        <w:pStyle w:val="Policytext1"/>
        <w:numPr>
          <w:ilvl w:val="1"/>
          <w:numId w:val="9"/>
        </w:numPr>
        <w:ind w:left="720" w:hanging="720"/>
      </w:pPr>
      <w:r w:rsidRPr="00896F6F">
        <w:t>Footpaths, that meet the design guidelines outlined in Section</w:t>
      </w:r>
      <w:r>
        <w:t xml:space="preserve"> </w:t>
      </w:r>
      <w:r>
        <w:fldChar w:fldCharType="begin"/>
      </w:r>
      <w:r>
        <w:instrText xml:space="preserve"> REF _Ref483583042 \r \h </w:instrText>
      </w:r>
      <w:r>
        <w:fldChar w:fldCharType="separate"/>
      </w:r>
      <w:r>
        <w:t>2</w:t>
      </w:r>
      <w:r>
        <w:fldChar w:fldCharType="end"/>
      </w:r>
      <w:r w:rsidRPr="00896F6F">
        <w:t>, will be constructed on BRT corridors.</w:t>
      </w:r>
    </w:p>
    <w:p w14:paraId="6747F86E" w14:textId="77777777" w:rsidR="00800A61" w:rsidRPr="00896F6F" w:rsidRDefault="00800A61" w:rsidP="006B41F2">
      <w:pPr>
        <w:pStyle w:val="Policytext1"/>
        <w:numPr>
          <w:ilvl w:val="1"/>
          <w:numId w:val="9"/>
        </w:numPr>
        <w:ind w:left="720" w:hanging="720"/>
      </w:pPr>
      <w:r w:rsidRPr="00896F6F">
        <w:t>At-grade pedestrian crossing will be provided at reasonable intervals to ensure safety of pedestrians. Pedestrian crossings at stations must be elevated to the height of the adjacent footpath, with a slope of 1:10 for buses.</w:t>
      </w:r>
    </w:p>
    <w:p w14:paraId="4F126F39" w14:textId="77777777" w:rsidR="00800A61" w:rsidRPr="00896F6F" w:rsidRDefault="00800A61" w:rsidP="006B41F2">
      <w:pPr>
        <w:pStyle w:val="Policytext1"/>
        <w:numPr>
          <w:ilvl w:val="1"/>
          <w:numId w:val="9"/>
        </w:numPr>
        <w:ind w:left="720" w:hanging="720"/>
      </w:pPr>
      <w:r w:rsidRPr="00896F6F">
        <w:t xml:space="preserve">Where space permits, cycle tracks that meet the design guidelines outlined in Section </w:t>
      </w:r>
      <w:r w:rsidRPr="00896F6F">
        <w:fldChar w:fldCharType="begin"/>
      </w:r>
      <w:r w:rsidRPr="00896F6F">
        <w:instrText xml:space="preserve"> REF _Ref469498846 \w \h </w:instrText>
      </w:r>
      <w:r w:rsidRPr="00896F6F">
        <w:fldChar w:fldCharType="separate"/>
      </w:r>
      <w:r>
        <w:t>15</w:t>
      </w:r>
      <w:r w:rsidRPr="00896F6F">
        <w:fldChar w:fldCharType="end"/>
      </w:r>
      <w:r w:rsidRPr="00896F6F">
        <w:t>, will also be constructed on BRT corridors.</w:t>
      </w:r>
    </w:p>
    <w:p w14:paraId="1141C0B1" w14:textId="77777777" w:rsidR="00800A61" w:rsidRPr="00896F6F" w:rsidRDefault="00800A61" w:rsidP="006B41F2">
      <w:pPr>
        <w:pStyle w:val="Policyhead"/>
        <w:numPr>
          <w:ilvl w:val="0"/>
          <w:numId w:val="9"/>
        </w:numPr>
        <w:ind w:left="360"/>
      </w:pPr>
      <w:bookmarkStart w:id="164" w:name="_Toc525113208"/>
      <w:r w:rsidRPr="00896F6F">
        <w:t>Summary</w:t>
      </w:r>
      <w:bookmarkEnd w:id="164"/>
    </w:p>
    <w:p w14:paraId="2289F7C1" w14:textId="77777777" w:rsidR="00800A61" w:rsidRPr="00896F6F" w:rsidRDefault="00800A61" w:rsidP="006B41F2">
      <w:pPr>
        <w:pStyle w:val="Policytext1"/>
        <w:numPr>
          <w:ilvl w:val="1"/>
          <w:numId w:val="9"/>
        </w:numPr>
        <w:ind w:left="720" w:hanging="720"/>
      </w:pPr>
      <w:r w:rsidRPr="00896F6F">
        <w:t>A summary of various street elements and their spe</w:t>
      </w:r>
      <w:r>
        <w:t>cifications is presented below.</w:t>
      </w:r>
    </w:p>
    <w:p w14:paraId="21F27C75" w14:textId="77777777" w:rsidR="00800A61" w:rsidRPr="00896F6F" w:rsidRDefault="00800A61" w:rsidP="00800A61"/>
    <w:p w14:paraId="6E9D6A12" w14:textId="05446CB2" w:rsidR="00800A61" w:rsidRPr="00896F6F" w:rsidRDefault="00800A61" w:rsidP="00800A61">
      <w:pPr>
        <w:pStyle w:val="Caption"/>
        <w:keepNext/>
      </w:pPr>
      <w:r w:rsidRPr="00896F6F">
        <w:t xml:space="preserve">Table </w:t>
      </w:r>
      <w:r w:rsidRPr="00896F6F">
        <w:fldChar w:fldCharType="begin"/>
      </w:r>
      <w:r w:rsidRPr="00896F6F">
        <w:instrText xml:space="preserve"> SEQ Table \* ARABIC </w:instrText>
      </w:r>
      <w:r w:rsidRPr="00896F6F">
        <w:fldChar w:fldCharType="separate"/>
      </w:r>
      <w:r w:rsidR="00851657">
        <w:rPr>
          <w:noProof/>
        </w:rPr>
        <w:t>12</w:t>
      </w:r>
      <w:r w:rsidRPr="00896F6F">
        <w:fldChar w:fldCharType="end"/>
      </w:r>
      <w:r w:rsidRPr="00896F6F">
        <w:t>: Street element standards</w:t>
      </w:r>
    </w:p>
    <w:tbl>
      <w:tblPr>
        <w:tblStyle w:val="TableGridLight1"/>
        <w:tblW w:w="9621" w:type="dxa"/>
        <w:tblLook w:val="04A0" w:firstRow="1" w:lastRow="0" w:firstColumn="1" w:lastColumn="0" w:noHBand="0" w:noVBand="1"/>
      </w:tblPr>
      <w:tblGrid>
        <w:gridCol w:w="2494"/>
        <w:gridCol w:w="3858"/>
        <w:gridCol w:w="1701"/>
        <w:gridCol w:w="1568"/>
      </w:tblGrid>
      <w:tr w:rsidR="00800A61" w:rsidRPr="00896F6F" w14:paraId="1E7B2703" w14:textId="77777777" w:rsidTr="00B72986">
        <w:trPr>
          <w:cnfStyle w:val="100000000000" w:firstRow="1" w:lastRow="0" w:firstColumn="0" w:lastColumn="0" w:oddVBand="0" w:evenVBand="0" w:oddHBand="0" w:evenHBand="0" w:firstRowFirstColumn="0" w:firstRowLastColumn="0" w:lastRowFirstColumn="0" w:lastRowLastColumn="0"/>
        </w:trPr>
        <w:tc>
          <w:tcPr>
            <w:tcW w:w="2494" w:type="dxa"/>
          </w:tcPr>
          <w:p w14:paraId="27FB1F04" w14:textId="77777777" w:rsidR="00800A61" w:rsidRPr="00896F6F" w:rsidRDefault="00800A61" w:rsidP="00B72986">
            <w:pPr>
              <w:pStyle w:val="Tabletext"/>
            </w:pPr>
            <w:r w:rsidRPr="00896F6F">
              <w:t>Street element</w:t>
            </w:r>
          </w:p>
        </w:tc>
        <w:tc>
          <w:tcPr>
            <w:tcW w:w="3858" w:type="dxa"/>
          </w:tcPr>
          <w:p w14:paraId="67E19446" w14:textId="77777777" w:rsidR="00800A61" w:rsidRPr="00896F6F" w:rsidRDefault="00800A61" w:rsidP="00B72986">
            <w:pPr>
              <w:pStyle w:val="Tabletext"/>
            </w:pPr>
            <w:r w:rsidRPr="00896F6F">
              <w:t>Specifications</w:t>
            </w:r>
          </w:p>
        </w:tc>
        <w:tc>
          <w:tcPr>
            <w:tcW w:w="1701" w:type="dxa"/>
          </w:tcPr>
          <w:p w14:paraId="540227A2" w14:textId="77777777" w:rsidR="00800A61" w:rsidRPr="00896F6F" w:rsidRDefault="00800A61" w:rsidP="00B72986">
            <w:pPr>
              <w:pStyle w:val="Tabletext"/>
            </w:pPr>
            <w:r w:rsidRPr="00896F6F">
              <w:t>Minimum width (m)</w:t>
            </w:r>
          </w:p>
        </w:tc>
        <w:tc>
          <w:tcPr>
            <w:tcW w:w="1568" w:type="dxa"/>
          </w:tcPr>
          <w:p w14:paraId="71B74266" w14:textId="77777777" w:rsidR="00800A61" w:rsidRPr="00896F6F" w:rsidRDefault="00800A61" w:rsidP="00B72986">
            <w:pPr>
              <w:pStyle w:val="Tabletext"/>
            </w:pPr>
            <w:r w:rsidRPr="00896F6F">
              <w:t>Maximum width(m)</w:t>
            </w:r>
          </w:p>
        </w:tc>
      </w:tr>
      <w:tr w:rsidR="00800A61" w:rsidRPr="00896F6F" w14:paraId="5EEFABE5" w14:textId="77777777" w:rsidTr="00B72986">
        <w:tc>
          <w:tcPr>
            <w:tcW w:w="2494" w:type="dxa"/>
            <w:vMerge w:val="restart"/>
          </w:tcPr>
          <w:p w14:paraId="75945D8D" w14:textId="77777777" w:rsidR="00800A61" w:rsidRPr="00896F6F" w:rsidRDefault="00800A61" w:rsidP="00B72986">
            <w:pPr>
              <w:pStyle w:val="Tabletext"/>
            </w:pPr>
            <w:r w:rsidRPr="00896F6F">
              <w:t>Footpath</w:t>
            </w:r>
          </w:p>
        </w:tc>
        <w:tc>
          <w:tcPr>
            <w:tcW w:w="3858" w:type="dxa"/>
          </w:tcPr>
          <w:p w14:paraId="57D5E4A8" w14:textId="77777777" w:rsidR="00800A61" w:rsidRPr="00896F6F" w:rsidRDefault="00800A61" w:rsidP="00B72986">
            <w:pPr>
              <w:pStyle w:val="Tabletext"/>
            </w:pPr>
            <w:r w:rsidRPr="00896F6F">
              <w:t>Clear walking space</w:t>
            </w:r>
          </w:p>
        </w:tc>
        <w:tc>
          <w:tcPr>
            <w:tcW w:w="1701" w:type="dxa"/>
          </w:tcPr>
          <w:p w14:paraId="43B1D361" w14:textId="77777777" w:rsidR="00800A61" w:rsidRPr="00896F6F" w:rsidRDefault="00800A61" w:rsidP="00B72986">
            <w:pPr>
              <w:pStyle w:val="Tabletext"/>
              <w:jc w:val="right"/>
            </w:pPr>
            <w:r w:rsidRPr="00896F6F">
              <w:t>2.0</w:t>
            </w:r>
          </w:p>
        </w:tc>
        <w:tc>
          <w:tcPr>
            <w:tcW w:w="1568" w:type="dxa"/>
          </w:tcPr>
          <w:p w14:paraId="1806FB9E" w14:textId="77777777" w:rsidR="00800A61" w:rsidRPr="00896F6F" w:rsidRDefault="00800A61" w:rsidP="00B72986">
            <w:pPr>
              <w:pStyle w:val="Tabletext"/>
              <w:jc w:val="right"/>
            </w:pPr>
            <w:r w:rsidRPr="00896F6F">
              <w:t>*</w:t>
            </w:r>
          </w:p>
        </w:tc>
      </w:tr>
      <w:tr w:rsidR="00800A61" w:rsidRPr="00896F6F" w14:paraId="1E726664" w14:textId="77777777" w:rsidTr="00B72986">
        <w:tc>
          <w:tcPr>
            <w:tcW w:w="2494" w:type="dxa"/>
            <w:vMerge/>
          </w:tcPr>
          <w:p w14:paraId="2BA265AE" w14:textId="77777777" w:rsidR="00800A61" w:rsidRPr="00896F6F" w:rsidRDefault="00800A61" w:rsidP="00B72986">
            <w:pPr>
              <w:pStyle w:val="Tabletext"/>
            </w:pPr>
          </w:p>
        </w:tc>
        <w:tc>
          <w:tcPr>
            <w:tcW w:w="3858" w:type="dxa"/>
          </w:tcPr>
          <w:p w14:paraId="102396DC" w14:textId="77777777" w:rsidR="00800A61" w:rsidRPr="00896F6F" w:rsidRDefault="00800A61" w:rsidP="00B72986">
            <w:pPr>
              <w:pStyle w:val="Tabletext"/>
            </w:pPr>
            <w:r w:rsidRPr="00896F6F">
              <w:t>Residential area, including furniture zone and frontage zone</w:t>
            </w:r>
          </w:p>
        </w:tc>
        <w:tc>
          <w:tcPr>
            <w:tcW w:w="1701" w:type="dxa"/>
          </w:tcPr>
          <w:p w14:paraId="405F36CF" w14:textId="77777777" w:rsidR="00800A61" w:rsidRPr="00896F6F" w:rsidRDefault="00800A61" w:rsidP="00B72986">
            <w:pPr>
              <w:pStyle w:val="Tabletext"/>
              <w:jc w:val="right"/>
            </w:pPr>
            <w:r w:rsidRPr="00896F6F">
              <w:t>3.5</w:t>
            </w:r>
          </w:p>
        </w:tc>
        <w:tc>
          <w:tcPr>
            <w:tcW w:w="1568" w:type="dxa"/>
          </w:tcPr>
          <w:p w14:paraId="1FC68894" w14:textId="77777777" w:rsidR="00800A61" w:rsidRPr="00896F6F" w:rsidRDefault="00800A61" w:rsidP="00B72986">
            <w:pPr>
              <w:pStyle w:val="Tabletext"/>
              <w:jc w:val="right"/>
            </w:pPr>
          </w:p>
        </w:tc>
      </w:tr>
      <w:tr w:rsidR="00800A61" w:rsidRPr="00896F6F" w14:paraId="047AF603" w14:textId="77777777" w:rsidTr="00B72986">
        <w:tc>
          <w:tcPr>
            <w:tcW w:w="2494" w:type="dxa"/>
            <w:vMerge/>
          </w:tcPr>
          <w:p w14:paraId="25CECEE4" w14:textId="77777777" w:rsidR="00800A61" w:rsidRPr="00896F6F" w:rsidRDefault="00800A61" w:rsidP="00B72986">
            <w:pPr>
              <w:pStyle w:val="Tabletext"/>
            </w:pPr>
          </w:p>
        </w:tc>
        <w:tc>
          <w:tcPr>
            <w:tcW w:w="3858" w:type="dxa"/>
          </w:tcPr>
          <w:p w14:paraId="09E3BC06" w14:textId="77777777" w:rsidR="00800A61" w:rsidRPr="00896F6F" w:rsidRDefault="00800A61" w:rsidP="00B72986">
            <w:pPr>
              <w:pStyle w:val="Tabletext"/>
            </w:pPr>
            <w:r w:rsidRPr="00896F6F">
              <w:t>Commercial area, including furniture zone and frontage zone</w:t>
            </w:r>
          </w:p>
        </w:tc>
        <w:tc>
          <w:tcPr>
            <w:tcW w:w="1701" w:type="dxa"/>
          </w:tcPr>
          <w:p w14:paraId="00B0F8B1" w14:textId="77777777" w:rsidR="00800A61" w:rsidRPr="00896F6F" w:rsidRDefault="00800A61" w:rsidP="00B72986">
            <w:pPr>
              <w:pStyle w:val="Tabletext"/>
              <w:jc w:val="right"/>
            </w:pPr>
            <w:r w:rsidRPr="00896F6F">
              <w:t>5.0</w:t>
            </w:r>
          </w:p>
        </w:tc>
        <w:tc>
          <w:tcPr>
            <w:tcW w:w="1568" w:type="dxa"/>
          </w:tcPr>
          <w:p w14:paraId="20414EDB" w14:textId="77777777" w:rsidR="00800A61" w:rsidRPr="00896F6F" w:rsidRDefault="00800A61" w:rsidP="00B72986">
            <w:pPr>
              <w:pStyle w:val="Tabletext"/>
              <w:jc w:val="right"/>
            </w:pPr>
          </w:p>
        </w:tc>
      </w:tr>
      <w:tr w:rsidR="00800A61" w:rsidRPr="00896F6F" w14:paraId="53BA30A2" w14:textId="77777777" w:rsidTr="00B72986">
        <w:tc>
          <w:tcPr>
            <w:tcW w:w="2494" w:type="dxa"/>
            <w:vMerge/>
          </w:tcPr>
          <w:p w14:paraId="7C3C96E2" w14:textId="77777777" w:rsidR="00800A61" w:rsidRPr="00896F6F" w:rsidRDefault="00800A61" w:rsidP="00B72986">
            <w:pPr>
              <w:pStyle w:val="Tabletext"/>
            </w:pPr>
          </w:p>
        </w:tc>
        <w:tc>
          <w:tcPr>
            <w:tcW w:w="3858" w:type="dxa"/>
          </w:tcPr>
          <w:p w14:paraId="3B7550BA" w14:textId="77777777" w:rsidR="00800A61" w:rsidRPr="00896F6F" w:rsidRDefault="00800A61" w:rsidP="00B72986">
            <w:pPr>
              <w:pStyle w:val="Tabletext"/>
            </w:pPr>
            <w:r w:rsidRPr="00896F6F">
              <w:t>High intensity commercial area, including furniture zone and frontage zone</w:t>
            </w:r>
          </w:p>
        </w:tc>
        <w:tc>
          <w:tcPr>
            <w:tcW w:w="1701" w:type="dxa"/>
          </w:tcPr>
          <w:p w14:paraId="1EA6D21A" w14:textId="77777777" w:rsidR="00800A61" w:rsidRPr="00896F6F" w:rsidRDefault="00800A61" w:rsidP="00B72986">
            <w:pPr>
              <w:pStyle w:val="Tabletext"/>
              <w:jc w:val="right"/>
            </w:pPr>
            <w:r w:rsidRPr="00896F6F">
              <w:t>6.5</w:t>
            </w:r>
          </w:p>
        </w:tc>
        <w:tc>
          <w:tcPr>
            <w:tcW w:w="1568" w:type="dxa"/>
          </w:tcPr>
          <w:p w14:paraId="00D703D2" w14:textId="77777777" w:rsidR="00800A61" w:rsidRPr="00896F6F" w:rsidRDefault="00800A61" w:rsidP="00B72986">
            <w:pPr>
              <w:pStyle w:val="Tabletext"/>
              <w:jc w:val="right"/>
            </w:pPr>
          </w:p>
        </w:tc>
      </w:tr>
      <w:tr w:rsidR="00800A61" w:rsidRPr="00896F6F" w14:paraId="56FF43FE" w14:textId="77777777" w:rsidTr="00B72986">
        <w:tc>
          <w:tcPr>
            <w:tcW w:w="2494" w:type="dxa"/>
          </w:tcPr>
          <w:p w14:paraId="28E88A2D" w14:textId="77777777" w:rsidR="00800A61" w:rsidRPr="00896F6F" w:rsidRDefault="00800A61" w:rsidP="00B72986">
            <w:pPr>
              <w:pStyle w:val="Tabletext"/>
            </w:pPr>
            <w:r w:rsidRPr="00896F6F">
              <w:t>Tree pit</w:t>
            </w:r>
          </w:p>
        </w:tc>
        <w:tc>
          <w:tcPr>
            <w:tcW w:w="3858" w:type="dxa"/>
          </w:tcPr>
          <w:p w14:paraId="7C099EAF" w14:textId="77777777" w:rsidR="00800A61" w:rsidRPr="00896F6F" w:rsidRDefault="00800A61" w:rsidP="00B72986">
            <w:pPr>
              <w:pStyle w:val="Tabletext"/>
            </w:pPr>
            <w:r>
              <w:t>Can be surfaced with permeable pavers to increase the usable walking space</w:t>
            </w:r>
          </w:p>
        </w:tc>
        <w:tc>
          <w:tcPr>
            <w:tcW w:w="1701" w:type="dxa"/>
          </w:tcPr>
          <w:p w14:paraId="1819A493" w14:textId="77777777" w:rsidR="00800A61" w:rsidRPr="00896F6F" w:rsidRDefault="00800A61" w:rsidP="00B72986">
            <w:pPr>
              <w:pStyle w:val="Tabletext"/>
              <w:jc w:val="right"/>
            </w:pPr>
            <w:r w:rsidRPr="00896F6F">
              <w:t>1.0</w:t>
            </w:r>
          </w:p>
        </w:tc>
        <w:tc>
          <w:tcPr>
            <w:tcW w:w="1568" w:type="dxa"/>
          </w:tcPr>
          <w:p w14:paraId="2ACB5EC4" w14:textId="77777777" w:rsidR="00800A61" w:rsidRPr="00896F6F" w:rsidRDefault="00800A61" w:rsidP="00B72986">
            <w:pPr>
              <w:pStyle w:val="Tabletext"/>
              <w:jc w:val="right"/>
            </w:pPr>
            <w:r w:rsidRPr="00896F6F">
              <w:t>*</w:t>
            </w:r>
          </w:p>
        </w:tc>
      </w:tr>
      <w:tr w:rsidR="00800A61" w:rsidRPr="00896F6F" w14:paraId="3DD8ACF7" w14:textId="77777777" w:rsidTr="00B72986">
        <w:tc>
          <w:tcPr>
            <w:tcW w:w="2494" w:type="dxa"/>
          </w:tcPr>
          <w:p w14:paraId="19E0495B" w14:textId="77777777" w:rsidR="00800A61" w:rsidRPr="00896F6F" w:rsidRDefault="00800A61" w:rsidP="00B72986">
            <w:pPr>
              <w:pStyle w:val="Tabletext"/>
            </w:pPr>
            <w:r w:rsidRPr="00896F6F">
              <w:t>Bus shelter</w:t>
            </w:r>
          </w:p>
        </w:tc>
        <w:tc>
          <w:tcPr>
            <w:tcW w:w="3858" w:type="dxa"/>
          </w:tcPr>
          <w:p w14:paraId="4C6AF8FB" w14:textId="77777777" w:rsidR="00800A61" w:rsidRPr="00896F6F" w:rsidRDefault="00800A61" w:rsidP="00B72986">
            <w:pPr>
              <w:pStyle w:val="Tabletext"/>
            </w:pPr>
            <w:r>
              <w:t>Should be placed in footpath furniture zone</w:t>
            </w:r>
          </w:p>
        </w:tc>
        <w:tc>
          <w:tcPr>
            <w:tcW w:w="1701" w:type="dxa"/>
          </w:tcPr>
          <w:p w14:paraId="3EDE959E" w14:textId="77777777" w:rsidR="00800A61" w:rsidRPr="00896F6F" w:rsidRDefault="00800A61" w:rsidP="00B72986">
            <w:pPr>
              <w:pStyle w:val="Tabletext"/>
              <w:jc w:val="right"/>
            </w:pPr>
            <w:r w:rsidRPr="00896F6F">
              <w:t>2.0</w:t>
            </w:r>
          </w:p>
        </w:tc>
        <w:tc>
          <w:tcPr>
            <w:tcW w:w="1568" w:type="dxa"/>
          </w:tcPr>
          <w:p w14:paraId="7C1E9F78" w14:textId="77777777" w:rsidR="00800A61" w:rsidRPr="00896F6F" w:rsidRDefault="00800A61" w:rsidP="00B72986">
            <w:pPr>
              <w:pStyle w:val="Tabletext"/>
              <w:jc w:val="right"/>
            </w:pPr>
            <w:r w:rsidRPr="00896F6F">
              <w:t>*</w:t>
            </w:r>
          </w:p>
        </w:tc>
      </w:tr>
      <w:tr w:rsidR="00800A61" w:rsidRPr="00896F6F" w14:paraId="7D590B7F" w14:textId="77777777" w:rsidTr="00B72986">
        <w:tc>
          <w:tcPr>
            <w:tcW w:w="2494" w:type="dxa"/>
            <w:vMerge w:val="restart"/>
          </w:tcPr>
          <w:p w14:paraId="3C7048A3" w14:textId="77777777" w:rsidR="00800A61" w:rsidRPr="00896F6F" w:rsidRDefault="00800A61" w:rsidP="00B72986">
            <w:pPr>
              <w:pStyle w:val="Tabletext"/>
            </w:pPr>
            <w:r w:rsidRPr="00896F6F">
              <w:t>Cycle track</w:t>
            </w:r>
          </w:p>
        </w:tc>
        <w:tc>
          <w:tcPr>
            <w:tcW w:w="3858" w:type="dxa"/>
          </w:tcPr>
          <w:p w14:paraId="3A9F64F0" w14:textId="77777777" w:rsidR="00800A61" w:rsidRPr="00896F6F" w:rsidRDefault="00800A61" w:rsidP="00B72986">
            <w:pPr>
              <w:pStyle w:val="Tabletext"/>
            </w:pPr>
            <w:r w:rsidRPr="00896F6F">
              <w:t>One-way</w:t>
            </w:r>
          </w:p>
        </w:tc>
        <w:tc>
          <w:tcPr>
            <w:tcW w:w="1701" w:type="dxa"/>
          </w:tcPr>
          <w:p w14:paraId="0FF02F38" w14:textId="77777777" w:rsidR="00800A61" w:rsidRPr="00896F6F" w:rsidRDefault="00800A61" w:rsidP="00B72986">
            <w:pPr>
              <w:pStyle w:val="Tabletext"/>
              <w:jc w:val="right"/>
            </w:pPr>
            <w:r w:rsidRPr="00896F6F">
              <w:t>2.0</w:t>
            </w:r>
          </w:p>
        </w:tc>
        <w:tc>
          <w:tcPr>
            <w:tcW w:w="1568" w:type="dxa"/>
          </w:tcPr>
          <w:p w14:paraId="0C503DA1" w14:textId="77777777" w:rsidR="00800A61" w:rsidRPr="00896F6F" w:rsidRDefault="00800A61" w:rsidP="00B72986">
            <w:pPr>
              <w:pStyle w:val="Tabletext"/>
              <w:jc w:val="right"/>
            </w:pPr>
            <w:r w:rsidRPr="00896F6F">
              <w:t>*</w:t>
            </w:r>
          </w:p>
        </w:tc>
      </w:tr>
      <w:tr w:rsidR="00800A61" w:rsidRPr="00896F6F" w14:paraId="46E43D86" w14:textId="77777777" w:rsidTr="00B72986">
        <w:tc>
          <w:tcPr>
            <w:tcW w:w="2494" w:type="dxa"/>
            <w:vMerge/>
          </w:tcPr>
          <w:p w14:paraId="5C1B0850" w14:textId="77777777" w:rsidR="00800A61" w:rsidRPr="00896F6F" w:rsidRDefault="00800A61" w:rsidP="00B72986">
            <w:pPr>
              <w:pStyle w:val="Tabletext"/>
            </w:pPr>
          </w:p>
        </w:tc>
        <w:tc>
          <w:tcPr>
            <w:tcW w:w="3858" w:type="dxa"/>
          </w:tcPr>
          <w:p w14:paraId="141AC499" w14:textId="77777777" w:rsidR="00800A61" w:rsidRPr="00896F6F" w:rsidRDefault="00800A61" w:rsidP="00B72986">
            <w:pPr>
              <w:pStyle w:val="Tabletext"/>
            </w:pPr>
            <w:r w:rsidRPr="00896F6F">
              <w:t>Two-way</w:t>
            </w:r>
          </w:p>
        </w:tc>
        <w:tc>
          <w:tcPr>
            <w:tcW w:w="1701" w:type="dxa"/>
          </w:tcPr>
          <w:p w14:paraId="61F4EBC2" w14:textId="77777777" w:rsidR="00800A61" w:rsidRPr="00896F6F" w:rsidRDefault="00800A61" w:rsidP="00B72986">
            <w:pPr>
              <w:pStyle w:val="Tabletext"/>
              <w:jc w:val="right"/>
            </w:pPr>
            <w:r w:rsidRPr="00896F6F">
              <w:t>3.0</w:t>
            </w:r>
          </w:p>
        </w:tc>
        <w:tc>
          <w:tcPr>
            <w:tcW w:w="1568" w:type="dxa"/>
          </w:tcPr>
          <w:p w14:paraId="0C056AF0" w14:textId="77777777" w:rsidR="00800A61" w:rsidRPr="00896F6F" w:rsidRDefault="00800A61" w:rsidP="00B72986">
            <w:pPr>
              <w:pStyle w:val="Tabletext"/>
              <w:jc w:val="right"/>
            </w:pPr>
            <w:r w:rsidRPr="00896F6F">
              <w:t>*</w:t>
            </w:r>
          </w:p>
        </w:tc>
      </w:tr>
      <w:tr w:rsidR="00800A61" w:rsidRPr="00896F6F" w14:paraId="36D2F456" w14:textId="77777777" w:rsidTr="00B72986">
        <w:tc>
          <w:tcPr>
            <w:tcW w:w="2494" w:type="dxa"/>
          </w:tcPr>
          <w:p w14:paraId="3D190A55" w14:textId="77777777" w:rsidR="00800A61" w:rsidRPr="00896F6F" w:rsidRDefault="00800A61" w:rsidP="00B72986">
            <w:pPr>
              <w:pStyle w:val="Tabletext"/>
            </w:pPr>
            <w:r w:rsidRPr="00896F6F">
              <w:t>Buffer</w:t>
            </w:r>
          </w:p>
        </w:tc>
        <w:tc>
          <w:tcPr>
            <w:tcW w:w="3858" w:type="dxa"/>
          </w:tcPr>
          <w:p w14:paraId="04AE31C1" w14:textId="77777777" w:rsidR="00800A61" w:rsidRPr="00896F6F" w:rsidRDefault="00800A61" w:rsidP="00B72986">
            <w:pPr>
              <w:pStyle w:val="Tabletext"/>
            </w:pPr>
            <w:r w:rsidRPr="00896F6F">
              <w:t>-</w:t>
            </w:r>
          </w:p>
        </w:tc>
        <w:tc>
          <w:tcPr>
            <w:tcW w:w="1701" w:type="dxa"/>
          </w:tcPr>
          <w:p w14:paraId="29B7688B" w14:textId="77777777" w:rsidR="00800A61" w:rsidRPr="00896F6F" w:rsidRDefault="00800A61" w:rsidP="00B72986">
            <w:pPr>
              <w:pStyle w:val="Tabletext"/>
              <w:jc w:val="right"/>
            </w:pPr>
            <w:r w:rsidRPr="00896F6F">
              <w:t>0.5</w:t>
            </w:r>
          </w:p>
        </w:tc>
        <w:tc>
          <w:tcPr>
            <w:tcW w:w="1568" w:type="dxa"/>
          </w:tcPr>
          <w:p w14:paraId="7C327582" w14:textId="77777777" w:rsidR="00800A61" w:rsidRPr="00896F6F" w:rsidRDefault="00800A61" w:rsidP="00B72986">
            <w:pPr>
              <w:pStyle w:val="Tabletext"/>
              <w:jc w:val="right"/>
            </w:pPr>
            <w:r w:rsidRPr="00896F6F">
              <w:t>*</w:t>
            </w:r>
          </w:p>
        </w:tc>
      </w:tr>
      <w:tr w:rsidR="00800A61" w:rsidRPr="00896F6F" w14:paraId="0C510C51" w14:textId="77777777" w:rsidTr="00B72986">
        <w:tc>
          <w:tcPr>
            <w:tcW w:w="2494" w:type="dxa"/>
          </w:tcPr>
          <w:p w14:paraId="55F467AD" w14:textId="77777777" w:rsidR="00800A61" w:rsidRPr="00896F6F" w:rsidRDefault="00800A61" w:rsidP="00B72986">
            <w:pPr>
              <w:pStyle w:val="Tabletext"/>
            </w:pPr>
            <w:r w:rsidRPr="00896F6F">
              <w:t>Parking</w:t>
            </w:r>
          </w:p>
        </w:tc>
        <w:tc>
          <w:tcPr>
            <w:tcW w:w="3858" w:type="dxa"/>
          </w:tcPr>
          <w:p w14:paraId="1C3A28EC" w14:textId="77777777" w:rsidR="00800A61" w:rsidRPr="00896F6F" w:rsidRDefault="00800A61" w:rsidP="00B72986">
            <w:pPr>
              <w:pStyle w:val="Tabletext"/>
            </w:pPr>
            <w:r w:rsidRPr="00896F6F">
              <w:t>Parallel Parking</w:t>
            </w:r>
          </w:p>
        </w:tc>
        <w:tc>
          <w:tcPr>
            <w:tcW w:w="1701" w:type="dxa"/>
          </w:tcPr>
          <w:p w14:paraId="7E40ADBD" w14:textId="77777777" w:rsidR="00800A61" w:rsidRPr="00896F6F" w:rsidRDefault="00800A61" w:rsidP="00B72986">
            <w:pPr>
              <w:pStyle w:val="Tabletext"/>
              <w:jc w:val="right"/>
            </w:pPr>
            <w:r w:rsidRPr="00896F6F">
              <w:t>2.0</w:t>
            </w:r>
          </w:p>
        </w:tc>
        <w:tc>
          <w:tcPr>
            <w:tcW w:w="1568" w:type="dxa"/>
          </w:tcPr>
          <w:p w14:paraId="12561ADB" w14:textId="77777777" w:rsidR="00800A61" w:rsidRPr="00896F6F" w:rsidRDefault="00800A61" w:rsidP="00B72986">
            <w:pPr>
              <w:pStyle w:val="Tabletext"/>
              <w:jc w:val="right"/>
            </w:pPr>
            <w:r w:rsidRPr="00896F6F">
              <w:t>2.5</w:t>
            </w:r>
          </w:p>
        </w:tc>
      </w:tr>
      <w:tr w:rsidR="00800A61" w:rsidRPr="00896F6F" w14:paraId="3C4B7DC4" w14:textId="77777777" w:rsidTr="00B72986">
        <w:tc>
          <w:tcPr>
            <w:tcW w:w="2494" w:type="dxa"/>
            <w:vMerge w:val="restart"/>
          </w:tcPr>
          <w:p w14:paraId="1C524137" w14:textId="77777777" w:rsidR="00800A61" w:rsidRPr="00896F6F" w:rsidRDefault="00800A61" w:rsidP="00B72986">
            <w:pPr>
              <w:pStyle w:val="Tabletext"/>
            </w:pPr>
            <w:r w:rsidRPr="00896F6F">
              <w:t>Carriageway</w:t>
            </w:r>
            <w:r>
              <w:t xml:space="preserve"> lane</w:t>
            </w:r>
          </w:p>
        </w:tc>
        <w:tc>
          <w:tcPr>
            <w:tcW w:w="3858" w:type="dxa"/>
          </w:tcPr>
          <w:p w14:paraId="1A9CA0E4" w14:textId="77777777" w:rsidR="00800A61" w:rsidRPr="00896F6F" w:rsidRDefault="00800A61" w:rsidP="00B72986">
            <w:pPr>
              <w:pStyle w:val="Tabletext"/>
            </w:pPr>
            <w:r w:rsidRPr="00896F6F">
              <w:t>Local street</w:t>
            </w:r>
            <w:r>
              <w:t>**</w:t>
            </w:r>
          </w:p>
        </w:tc>
        <w:tc>
          <w:tcPr>
            <w:tcW w:w="1701" w:type="dxa"/>
          </w:tcPr>
          <w:p w14:paraId="05D5105E" w14:textId="77777777" w:rsidR="00800A61" w:rsidRPr="00896F6F" w:rsidRDefault="00800A61" w:rsidP="00B72986">
            <w:pPr>
              <w:pStyle w:val="Tabletext"/>
              <w:jc w:val="right"/>
            </w:pPr>
            <w:r>
              <w:t>2.75</w:t>
            </w:r>
          </w:p>
        </w:tc>
        <w:tc>
          <w:tcPr>
            <w:tcW w:w="1568" w:type="dxa"/>
          </w:tcPr>
          <w:p w14:paraId="59E188D7" w14:textId="77777777" w:rsidR="00800A61" w:rsidRPr="00896F6F" w:rsidRDefault="00800A61" w:rsidP="00B72986">
            <w:pPr>
              <w:pStyle w:val="Tabletext"/>
              <w:jc w:val="right"/>
            </w:pPr>
            <w:r>
              <w:t>3.0</w:t>
            </w:r>
          </w:p>
        </w:tc>
      </w:tr>
      <w:tr w:rsidR="00800A61" w:rsidRPr="00896F6F" w14:paraId="5DA4E66C" w14:textId="77777777" w:rsidTr="00B72986">
        <w:tc>
          <w:tcPr>
            <w:tcW w:w="2494" w:type="dxa"/>
            <w:vMerge/>
          </w:tcPr>
          <w:p w14:paraId="3724A3FE" w14:textId="77777777" w:rsidR="00800A61" w:rsidRPr="00896F6F" w:rsidRDefault="00800A61" w:rsidP="00B72986">
            <w:pPr>
              <w:pStyle w:val="Tabletext"/>
            </w:pPr>
          </w:p>
        </w:tc>
        <w:tc>
          <w:tcPr>
            <w:tcW w:w="3858" w:type="dxa"/>
          </w:tcPr>
          <w:p w14:paraId="13B40E4F" w14:textId="77777777" w:rsidR="00800A61" w:rsidRPr="00896F6F" w:rsidRDefault="00800A61" w:rsidP="00B72986">
            <w:pPr>
              <w:pStyle w:val="Tabletext"/>
            </w:pPr>
            <w:r w:rsidRPr="00896F6F">
              <w:t>Minor collector</w:t>
            </w:r>
          </w:p>
        </w:tc>
        <w:tc>
          <w:tcPr>
            <w:tcW w:w="1701" w:type="dxa"/>
          </w:tcPr>
          <w:p w14:paraId="7D95A7AA" w14:textId="77777777" w:rsidR="00800A61" w:rsidRPr="00896F6F" w:rsidRDefault="00800A61" w:rsidP="00B72986">
            <w:pPr>
              <w:pStyle w:val="Tabletext"/>
              <w:jc w:val="right"/>
            </w:pPr>
            <w:r>
              <w:t>2.75</w:t>
            </w:r>
          </w:p>
        </w:tc>
        <w:tc>
          <w:tcPr>
            <w:tcW w:w="1568" w:type="dxa"/>
          </w:tcPr>
          <w:p w14:paraId="714E2316" w14:textId="77777777" w:rsidR="00800A61" w:rsidRPr="00896F6F" w:rsidRDefault="00800A61" w:rsidP="00B72986">
            <w:pPr>
              <w:pStyle w:val="Tabletext"/>
              <w:jc w:val="right"/>
            </w:pPr>
            <w:r>
              <w:t>3.25</w:t>
            </w:r>
          </w:p>
        </w:tc>
      </w:tr>
      <w:tr w:rsidR="00800A61" w:rsidRPr="00896F6F" w14:paraId="08B11D98" w14:textId="77777777" w:rsidTr="00B72986">
        <w:tc>
          <w:tcPr>
            <w:tcW w:w="2494" w:type="dxa"/>
            <w:vMerge/>
          </w:tcPr>
          <w:p w14:paraId="1A289893" w14:textId="77777777" w:rsidR="00800A61" w:rsidRPr="00896F6F" w:rsidRDefault="00800A61" w:rsidP="00B72986">
            <w:pPr>
              <w:pStyle w:val="Tabletext"/>
            </w:pPr>
          </w:p>
        </w:tc>
        <w:tc>
          <w:tcPr>
            <w:tcW w:w="3858" w:type="dxa"/>
          </w:tcPr>
          <w:p w14:paraId="227202FD" w14:textId="77777777" w:rsidR="00800A61" w:rsidRPr="00896F6F" w:rsidRDefault="00800A61" w:rsidP="00B72986">
            <w:pPr>
              <w:pStyle w:val="Tabletext"/>
            </w:pPr>
            <w:r w:rsidRPr="00896F6F">
              <w:t>Major collector</w:t>
            </w:r>
          </w:p>
        </w:tc>
        <w:tc>
          <w:tcPr>
            <w:tcW w:w="1701" w:type="dxa"/>
          </w:tcPr>
          <w:p w14:paraId="0AE9779C" w14:textId="77777777" w:rsidR="00800A61" w:rsidRPr="00896F6F" w:rsidRDefault="00800A61" w:rsidP="00B72986">
            <w:pPr>
              <w:pStyle w:val="Tabletext"/>
              <w:jc w:val="right"/>
            </w:pPr>
            <w:r>
              <w:t>2.75</w:t>
            </w:r>
          </w:p>
        </w:tc>
        <w:tc>
          <w:tcPr>
            <w:tcW w:w="1568" w:type="dxa"/>
          </w:tcPr>
          <w:p w14:paraId="399E4B07" w14:textId="77777777" w:rsidR="00800A61" w:rsidRPr="00896F6F" w:rsidRDefault="00800A61" w:rsidP="00B72986">
            <w:pPr>
              <w:pStyle w:val="Tabletext"/>
              <w:jc w:val="right"/>
            </w:pPr>
            <w:r>
              <w:t>3.25</w:t>
            </w:r>
          </w:p>
        </w:tc>
      </w:tr>
      <w:tr w:rsidR="00800A61" w:rsidRPr="00896F6F" w14:paraId="61E05A89" w14:textId="77777777" w:rsidTr="00B72986">
        <w:tc>
          <w:tcPr>
            <w:tcW w:w="2494" w:type="dxa"/>
            <w:vMerge/>
          </w:tcPr>
          <w:p w14:paraId="0DC8FFBA" w14:textId="77777777" w:rsidR="00800A61" w:rsidRPr="00896F6F" w:rsidRDefault="00800A61" w:rsidP="00B72986">
            <w:pPr>
              <w:pStyle w:val="Tabletext"/>
            </w:pPr>
          </w:p>
        </w:tc>
        <w:tc>
          <w:tcPr>
            <w:tcW w:w="3858" w:type="dxa"/>
          </w:tcPr>
          <w:p w14:paraId="73073C30" w14:textId="77777777" w:rsidR="00800A61" w:rsidRPr="00896F6F" w:rsidRDefault="00800A61" w:rsidP="00B72986">
            <w:pPr>
              <w:pStyle w:val="Tabletext"/>
            </w:pPr>
            <w:r w:rsidRPr="00896F6F">
              <w:t>Arterial</w:t>
            </w:r>
          </w:p>
        </w:tc>
        <w:tc>
          <w:tcPr>
            <w:tcW w:w="1701" w:type="dxa"/>
          </w:tcPr>
          <w:p w14:paraId="779CF16C" w14:textId="77777777" w:rsidR="00800A61" w:rsidRPr="00896F6F" w:rsidRDefault="00800A61" w:rsidP="00B72986">
            <w:pPr>
              <w:pStyle w:val="Tabletext"/>
              <w:jc w:val="right"/>
            </w:pPr>
            <w:r>
              <w:t>3.0</w:t>
            </w:r>
          </w:p>
        </w:tc>
        <w:tc>
          <w:tcPr>
            <w:tcW w:w="1568" w:type="dxa"/>
          </w:tcPr>
          <w:p w14:paraId="5AE6C354" w14:textId="77777777" w:rsidR="00800A61" w:rsidRPr="00896F6F" w:rsidRDefault="00800A61" w:rsidP="00B72986">
            <w:pPr>
              <w:pStyle w:val="Tabletext"/>
              <w:jc w:val="right"/>
            </w:pPr>
            <w:r>
              <w:t>3.5</w:t>
            </w:r>
          </w:p>
        </w:tc>
      </w:tr>
    </w:tbl>
    <w:p w14:paraId="76FE1E9F" w14:textId="77777777" w:rsidR="00800A61" w:rsidRPr="0052300B" w:rsidRDefault="00800A61" w:rsidP="00800A61">
      <w:pPr>
        <w:pStyle w:val="Tabletext"/>
      </w:pPr>
      <w:r w:rsidRPr="00896F6F">
        <w:t>*Width as per requirement</w:t>
      </w:r>
      <w:r>
        <w:br/>
        <w:t>** On local streets, meandering carriageways and shared space designs can improve safety</w:t>
      </w:r>
    </w:p>
    <w:p w14:paraId="63E5DC32" w14:textId="77777777" w:rsidR="00800A61" w:rsidRPr="00800A61" w:rsidRDefault="00800A61" w:rsidP="00800A61"/>
    <w:p w14:paraId="2931AFBD" w14:textId="27D00414" w:rsidR="001B69AB" w:rsidRDefault="00800A61" w:rsidP="00800A61">
      <w:pPr>
        <w:pStyle w:val="Heading1"/>
      </w:pPr>
      <w:bookmarkStart w:id="165" w:name="_Toc7200532"/>
      <w:r>
        <w:lastRenderedPageBreak/>
        <w:t xml:space="preserve">Appendix: </w:t>
      </w:r>
      <w:r w:rsidRPr="00800A61">
        <w:t>Street design c</w:t>
      </w:r>
      <w:r w:rsidR="001B69AB" w:rsidRPr="00800A61">
        <w:t>hecklist</w:t>
      </w:r>
      <w:bookmarkEnd w:id="165"/>
    </w:p>
    <w:p w14:paraId="7239442F" w14:textId="77777777" w:rsidR="00AA2F98" w:rsidRPr="00AA2F98" w:rsidRDefault="00AA2F98" w:rsidP="00AA2F98"/>
    <w:p w14:paraId="0857B243" w14:textId="53F87FC5" w:rsidR="00AA2F98" w:rsidRDefault="00AA2F98" w:rsidP="00AA2F98">
      <w:pPr>
        <w:pStyle w:val="Caption"/>
      </w:pPr>
      <w:r>
        <w:t xml:space="preserve">Table </w:t>
      </w:r>
      <w:r>
        <w:fldChar w:fldCharType="begin"/>
      </w:r>
      <w:r>
        <w:instrText xml:space="preserve"> SEQ Table \* ARABIC </w:instrText>
      </w:r>
      <w:r>
        <w:fldChar w:fldCharType="separate"/>
      </w:r>
      <w:r w:rsidR="00851657">
        <w:rPr>
          <w:noProof/>
        </w:rPr>
        <w:t>13</w:t>
      </w:r>
      <w:r>
        <w:fldChar w:fldCharType="end"/>
      </w:r>
      <w:r>
        <w:t>: Design review checklist.</w:t>
      </w:r>
    </w:p>
    <w:tbl>
      <w:tblPr>
        <w:tblStyle w:val="ITDPtable"/>
        <w:tblW w:w="0" w:type="auto"/>
        <w:tblLook w:val="04A0" w:firstRow="1" w:lastRow="0" w:firstColumn="1" w:lastColumn="0" w:noHBand="0" w:noVBand="1"/>
      </w:tblPr>
      <w:tblGrid>
        <w:gridCol w:w="1560"/>
        <w:gridCol w:w="7371"/>
      </w:tblGrid>
      <w:tr w:rsidR="00AA2F98" w:rsidRPr="000060A8" w14:paraId="42115E17" w14:textId="77777777" w:rsidTr="00B72986">
        <w:trPr>
          <w:cnfStyle w:val="100000000000" w:firstRow="1" w:lastRow="0" w:firstColumn="0" w:lastColumn="0" w:oddVBand="0" w:evenVBand="0" w:oddHBand="0" w:evenHBand="0" w:firstRowFirstColumn="0" w:firstRowLastColumn="0" w:lastRowFirstColumn="0" w:lastRowLastColumn="0"/>
        </w:trPr>
        <w:tc>
          <w:tcPr>
            <w:tcW w:w="1560" w:type="dxa"/>
          </w:tcPr>
          <w:p w14:paraId="275E7621" w14:textId="77777777" w:rsidR="00AA2F98" w:rsidRPr="000060A8" w:rsidRDefault="00AA2F98" w:rsidP="00B72986">
            <w:pPr>
              <w:pStyle w:val="Tabletext"/>
            </w:pPr>
            <w:r>
              <w:t>Element</w:t>
            </w:r>
          </w:p>
        </w:tc>
        <w:tc>
          <w:tcPr>
            <w:tcW w:w="7371" w:type="dxa"/>
          </w:tcPr>
          <w:p w14:paraId="6DE695E5" w14:textId="77777777" w:rsidR="00AA2F98" w:rsidRPr="000060A8" w:rsidRDefault="00AA2F98" w:rsidP="00B72986">
            <w:pPr>
              <w:pStyle w:val="Tabletext"/>
            </w:pPr>
            <w:r>
              <w:t>Design criteria</w:t>
            </w:r>
          </w:p>
        </w:tc>
      </w:tr>
      <w:tr w:rsidR="00AA2F98" w:rsidRPr="000060A8" w14:paraId="09FB9308" w14:textId="77777777" w:rsidTr="00B72986">
        <w:trPr>
          <w:cnfStyle w:val="000000100000" w:firstRow="0" w:lastRow="0" w:firstColumn="0" w:lastColumn="0" w:oddVBand="0" w:evenVBand="0" w:oddHBand="1" w:evenHBand="0" w:firstRowFirstColumn="0" w:firstRowLastColumn="0" w:lastRowFirstColumn="0" w:lastRowLastColumn="0"/>
        </w:trPr>
        <w:tc>
          <w:tcPr>
            <w:tcW w:w="1560" w:type="dxa"/>
          </w:tcPr>
          <w:p w14:paraId="2F536169" w14:textId="77777777" w:rsidR="00AA2F98" w:rsidRPr="000060A8" w:rsidRDefault="00AA2F98" w:rsidP="00B72986">
            <w:pPr>
              <w:pStyle w:val="Tabletext"/>
            </w:pPr>
            <w:r w:rsidRPr="000060A8">
              <w:t>Footpath</w:t>
            </w:r>
          </w:p>
        </w:tc>
        <w:tc>
          <w:tcPr>
            <w:tcW w:w="7371" w:type="dxa"/>
          </w:tcPr>
          <w:p w14:paraId="2CCCD6CE" w14:textId="77777777" w:rsidR="00AA2F98" w:rsidRPr="000060A8" w:rsidRDefault="00AA2F98" w:rsidP="00AA2F98">
            <w:pPr>
              <w:pStyle w:val="Tabletextbullet"/>
            </w:pPr>
            <w:r w:rsidRPr="000060A8">
              <w:t>Height of at least 150 mm and no more than 200 mm.</w:t>
            </w:r>
          </w:p>
          <w:p w14:paraId="4959789F" w14:textId="77777777" w:rsidR="00AA2F98" w:rsidRPr="000060A8" w:rsidRDefault="00AA2F98" w:rsidP="00AA2F98">
            <w:pPr>
              <w:pStyle w:val="Tabletextbullet"/>
            </w:pPr>
            <w:r w:rsidRPr="000060A8">
              <w:t>Minimum 2 m clear width in all locations.</w:t>
            </w:r>
          </w:p>
          <w:p w14:paraId="08755929" w14:textId="77777777" w:rsidR="00AA2F98" w:rsidRPr="000060A8" w:rsidRDefault="00AA2F98" w:rsidP="00AA2F98">
            <w:pPr>
              <w:pStyle w:val="Tabletextbullet"/>
            </w:pPr>
            <w:r w:rsidRPr="000060A8">
              <w:t>Wheelchair kerb ramps have a maximum slope of 1:12.</w:t>
            </w:r>
          </w:p>
          <w:p w14:paraId="18EA34DE" w14:textId="77777777" w:rsidR="00AA2F98" w:rsidRPr="000060A8" w:rsidRDefault="00AA2F98" w:rsidP="00AA2F98">
            <w:pPr>
              <w:pStyle w:val="Tabletextbullet"/>
            </w:pPr>
            <w:r w:rsidRPr="000060A8">
              <w:t>Bollards installed along the edge of the footpath to prevent driving and parking on the footpath.</w:t>
            </w:r>
          </w:p>
          <w:p w14:paraId="6BFADA40" w14:textId="77777777" w:rsidR="00AA2F98" w:rsidRPr="000060A8" w:rsidRDefault="00AA2F98" w:rsidP="00AA2F98">
            <w:pPr>
              <w:pStyle w:val="Tabletextbullet"/>
            </w:pPr>
            <w:r w:rsidRPr="000060A8">
              <w:t>At least one set of bollards with spacing of 1,200 mm.</w:t>
            </w:r>
          </w:p>
          <w:p w14:paraId="1193AC88" w14:textId="77777777" w:rsidR="00AA2F98" w:rsidRPr="000060A8" w:rsidRDefault="00AA2F98" w:rsidP="00AA2F98">
            <w:pPr>
              <w:pStyle w:val="Tabletextbullet"/>
            </w:pPr>
            <w:r w:rsidRPr="000060A8">
              <w:t>The footpath surface is uniform and non-slippery, with slope of 1:100 to avoid water stagnation.</w:t>
            </w:r>
          </w:p>
          <w:p w14:paraId="694EAACE" w14:textId="77777777" w:rsidR="00AA2F98" w:rsidRPr="000060A8" w:rsidRDefault="00AA2F98" w:rsidP="00AA2F98">
            <w:pPr>
              <w:pStyle w:val="Tabletextbullet"/>
            </w:pPr>
            <w:r w:rsidRPr="000060A8">
              <w:t>Tactile warning are strips located at transition points (e.g., mid-block crossings, intersections).</w:t>
            </w:r>
          </w:p>
        </w:tc>
      </w:tr>
      <w:tr w:rsidR="00AA2F98" w:rsidRPr="000060A8" w14:paraId="01AC83C3" w14:textId="77777777" w:rsidTr="00B72986">
        <w:trPr>
          <w:cnfStyle w:val="000000010000" w:firstRow="0" w:lastRow="0" w:firstColumn="0" w:lastColumn="0" w:oddVBand="0" w:evenVBand="0" w:oddHBand="0" w:evenHBand="1" w:firstRowFirstColumn="0" w:firstRowLastColumn="0" w:lastRowFirstColumn="0" w:lastRowLastColumn="0"/>
        </w:trPr>
        <w:tc>
          <w:tcPr>
            <w:tcW w:w="1560" w:type="dxa"/>
          </w:tcPr>
          <w:p w14:paraId="1344467E" w14:textId="77777777" w:rsidR="00AA2F98" w:rsidRPr="000060A8" w:rsidRDefault="00AA2F98" w:rsidP="00B72986">
            <w:pPr>
              <w:pStyle w:val="Tabletext"/>
            </w:pPr>
            <w:r w:rsidRPr="000060A8">
              <w:t>Cycle track</w:t>
            </w:r>
          </w:p>
        </w:tc>
        <w:tc>
          <w:tcPr>
            <w:tcW w:w="7371" w:type="dxa"/>
          </w:tcPr>
          <w:p w14:paraId="3D51062C" w14:textId="77777777" w:rsidR="00AA2F98" w:rsidRPr="000060A8" w:rsidRDefault="00AA2F98" w:rsidP="00AA2F98">
            <w:pPr>
              <w:pStyle w:val="Tabletextbullet"/>
            </w:pPr>
            <w:r w:rsidRPr="000060A8">
              <w:t>Physically separated from the carriageway.</w:t>
            </w:r>
          </w:p>
          <w:p w14:paraId="68669AE0" w14:textId="77777777" w:rsidR="00AA2F98" w:rsidRPr="000060A8" w:rsidRDefault="00AA2F98" w:rsidP="00AA2F98">
            <w:pPr>
              <w:pStyle w:val="Tabletextbullet"/>
            </w:pPr>
            <w:r w:rsidRPr="000060A8">
              <w:t>Elevated above the carriageway</w:t>
            </w:r>
          </w:p>
          <w:p w14:paraId="43507BDC" w14:textId="77777777" w:rsidR="00AA2F98" w:rsidRPr="000060A8" w:rsidRDefault="00AA2F98" w:rsidP="00AA2F98">
            <w:pPr>
              <w:pStyle w:val="Tabletextbullet"/>
            </w:pPr>
            <w:r w:rsidRPr="000060A8">
              <w:t>Clear width ≥ 2 m for one-way movement; ≥ 2.5 m for two-way movement.</w:t>
            </w:r>
          </w:p>
        </w:tc>
      </w:tr>
      <w:tr w:rsidR="00AA2F98" w:rsidRPr="000060A8" w14:paraId="2E93CE60" w14:textId="77777777" w:rsidTr="00B72986">
        <w:trPr>
          <w:cnfStyle w:val="000000100000" w:firstRow="0" w:lastRow="0" w:firstColumn="0" w:lastColumn="0" w:oddVBand="0" w:evenVBand="0" w:oddHBand="1" w:evenHBand="0" w:firstRowFirstColumn="0" w:firstRowLastColumn="0" w:lastRowFirstColumn="0" w:lastRowLastColumn="0"/>
        </w:trPr>
        <w:tc>
          <w:tcPr>
            <w:tcW w:w="1560" w:type="dxa"/>
          </w:tcPr>
          <w:p w14:paraId="52478556" w14:textId="77777777" w:rsidR="00AA2F98" w:rsidRPr="000060A8" w:rsidRDefault="00AA2F98" w:rsidP="00B72986">
            <w:pPr>
              <w:pStyle w:val="Tabletext"/>
            </w:pPr>
            <w:r w:rsidRPr="000060A8">
              <w:t>Property entrances</w:t>
            </w:r>
          </w:p>
        </w:tc>
        <w:tc>
          <w:tcPr>
            <w:tcW w:w="7371" w:type="dxa"/>
          </w:tcPr>
          <w:p w14:paraId="1CD3289C" w14:textId="77777777" w:rsidR="00AA2F98" w:rsidRPr="000060A8" w:rsidRDefault="00AA2F98" w:rsidP="00AA2F98">
            <w:pPr>
              <w:pStyle w:val="Tabletextbullet"/>
            </w:pPr>
            <w:r w:rsidRPr="000060A8">
              <w:t>The footpath remains at the same level through property entrances.</w:t>
            </w:r>
          </w:p>
          <w:p w14:paraId="6BC9B685" w14:textId="77777777" w:rsidR="00AA2F98" w:rsidRPr="000060A8" w:rsidRDefault="00AA2F98" w:rsidP="00AA2F98">
            <w:pPr>
              <w:pStyle w:val="Tabletextbullet"/>
            </w:pPr>
            <w:r w:rsidRPr="000060A8">
              <w:t>Bollards are installed on either side of each entrance to prevent driving and parking.</w:t>
            </w:r>
          </w:p>
          <w:p w14:paraId="346C01F4" w14:textId="77777777" w:rsidR="00AA2F98" w:rsidRPr="000060A8" w:rsidRDefault="00AA2F98" w:rsidP="00AA2F98">
            <w:pPr>
              <w:pStyle w:val="Tabletextbullet"/>
            </w:pPr>
            <w:r w:rsidRPr="000060A8">
              <w:t>Property access is provided at a discrete location for each plot, with a maximum entrance width of 6 m</w:t>
            </w:r>
          </w:p>
        </w:tc>
      </w:tr>
      <w:tr w:rsidR="00AA2F98" w:rsidRPr="000060A8" w14:paraId="464A6B29" w14:textId="77777777" w:rsidTr="00B72986">
        <w:trPr>
          <w:cnfStyle w:val="000000010000" w:firstRow="0" w:lastRow="0" w:firstColumn="0" w:lastColumn="0" w:oddVBand="0" w:evenVBand="0" w:oddHBand="0" w:evenHBand="1" w:firstRowFirstColumn="0" w:firstRowLastColumn="0" w:lastRowFirstColumn="0" w:lastRowLastColumn="0"/>
        </w:trPr>
        <w:tc>
          <w:tcPr>
            <w:tcW w:w="1560" w:type="dxa"/>
          </w:tcPr>
          <w:p w14:paraId="7760FF74" w14:textId="77777777" w:rsidR="00AA2F98" w:rsidRPr="000060A8" w:rsidRDefault="00AA2F98" w:rsidP="00B72986">
            <w:pPr>
              <w:pStyle w:val="Tabletext"/>
            </w:pPr>
            <w:r w:rsidRPr="000060A8">
              <w:t>Mid-block crossings</w:t>
            </w:r>
          </w:p>
        </w:tc>
        <w:tc>
          <w:tcPr>
            <w:tcW w:w="7371" w:type="dxa"/>
          </w:tcPr>
          <w:p w14:paraId="5F350963" w14:textId="77777777" w:rsidR="00AA2F98" w:rsidRPr="000060A8" w:rsidRDefault="00AA2F98" w:rsidP="00AA2F98">
            <w:pPr>
              <w:pStyle w:val="Tabletextbullet"/>
            </w:pPr>
            <w:r w:rsidRPr="000060A8">
              <w:t>Pedestrian crossings at intervals of 100-150 m.</w:t>
            </w:r>
          </w:p>
          <w:p w14:paraId="10B60BBC" w14:textId="77777777" w:rsidR="00AA2F98" w:rsidRPr="000060A8" w:rsidRDefault="00AA2F98" w:rsidP="00AA2F98">
            <w:pPr>
              <w:pStyle w:val="Tabletextbullet"/>
            </w:pPr>
            <w:r w:rsidRPr="000060A8">
              <w:t>Crossing are raised to the level of the footpath with ramps for vehicles (minimum slope of 1:15) OR have kerb ramps at each end of the crossing.</w:t>
            </w:r>
          </w:p>
          <w:p w14:paraId="32ECECEF" w14:textId="77777777" w:rsidR="00AA2F98" w:rsidRPr="000060A8" w:rsidRDefault="00AA2F98" w:rsidP="00AA2F98">
            <w:pPr>
              <w:pStyle w:val="Tabletextbullet"/>
            </w:pPr>
            <w:r w:rsidRPr="000060A8">
              <w:t>Median refuge islands are provided at crossing points, with minimum dimensions of 2 m by 1 m.</w:t>
            </w:r>
          </w:p>
        </w:tc>
      </w:tr>
      <w:tr w:rsidR="00AA2F98" w:rsidRPr="000060A8" w14:paraId="3A6596D0" w14:textId="77777777" w:rsidTr="00B72986">
        <w:trPr>
          <w:cnfStyle w:val="000000100000" w:firstRow="0" w:lastRow="0" w:firstColumn="0" w:lastColumn="0" w:oddVBand="0" w:evenVBand="0" w:oddHBand="1" w:evenHBand="0" w:firstRowFirstColumn="0" w:firstRowLastColumn="0" w:lastRowFirstColumn="0" w:lastRowLastColumn="0"/>
        </w:trPr>
        <w:tc>
          <w:tcPr>
            <w:tcW w:w="1560" w:type="dxa"/>
          </w:tcPr>
          <w:p w14:paraId="2FFDD1AC" w14:textId="77777777" w:rsidR="00AA2F98" w:rsidRPr="000060A8" w:rsidRDefault="00AA2F98" w:rsidP="00B72986">
            <w:pPr>
              <w:pStyle w:val="Tabletext"/>
            </w:pPr>
            <w:r w:rsidRPr="000060A8">
              <w:t>Intersection</w:t>
            </w:r>
          </w:p>
        </w:tc>
        <w:tc>
          <w:tcPr>
            <w:tcW w:w="7371" w:type="dxa"/>
          </w:tcPr>
          <w:p w14:paraId="37617BCB" w14:textId="77777777" w:rsidR="00AA2F98" w:rsidRPr="000060A8" w:rsidRDefault="00AA2F98" w:rsidP="00AA2F98">
            <w:pPr>
              <w:pStyle w:val="Tabletextbullet"/>
            </w:pPr>
            <w:r w:rsidRPr="000060A8">
              <w:t>Kerb ramps on all corners of intersections to provide wheelchair access to the footpath.</w:t>
            </w:r>
          </w:p>
          <w:p w14:paraId="31D6D916" w14:textId="77777777" w:rsidR="00AA2F98" w:rsidRPr="000060A8" w:rsidRDefault="00AA2F98" w:rsidP="00AA2F98">
            <w:pPr>
              <w:pStyle w:val="Tabletextbullet"/>
            </w:pPr>
            <w:r w:rsidRPr="000060A8">
              <w:t>Median refuge islands with minimum dimensions of 2 m by 1 m on all arms with more than 2 lanes to cross.</w:t>
            </w:r>
          </w:p>
          <w:p w14:paraId="1A52FFA1" w14:textId="77777777" w:rsidR="00AA2F98" w:rsidRPr="000060A8" w:rsidRDefault="00AA2F98" w:rsidP="00AA2F98">
            <w:pPr>
              <w:pStyle w:val="Tabletextbullet"/>
            </w:pPr>
            <w:r w:rsidRPr="000060A8">
              <w:t>Signalisation if any arm has more than 2 lanes to cross.</w:t>
            </w:r>
          </w:p>
          <w:p w14:paraId="7D2586C5" w14:textId="77777777" w:rsidR="00AA2F98" w:rsidRPr="000060A8" w:rsidRDefault="00AA2F98" w:rsidP="00AA2F98">
            <w:pPr>
              <w:pStyle w:val="Tabletextbullet"/>
            </w:pPr>
            <w:r w:rsidRPr="000060A8">
              <w:t>Pedestrian crossings are located along desire lines.</w:t>
            </w:r>
          </w:p>
          <w:p w14:paraId="23B0381E" w14:textId="77777777" w:rsidR="00AA2F98" w:rsidRPr="000060A8" w:rsidRDefault="00AA2F98" w:rsidP="00AA2F98">
            <w:pPr>
              <w:pStyle w:val="Tabletextbullet"/>
            </w:pPr>
            <w:r w:rsidRPr="000060A8">
              <w:t>Turning radii are no more than 5 m.</w:t>
            </w:r>
          </w:p>
        </w:tc>
      </w:tr>
      <w:tr w:rsidR="00AA2F98" w:rsidRPr="000060A8" w14:paraId="7EDFF121" w14:textId="77777777" w:rsidTr="00B72986">
        <w:trPr>
          <w:cnfStyle w:val="000000010000" w:firstRow="0" w:lastRow="0" w:firstColumn="0" w:lastColumn="0" w:oddVBand="0" w:evenVBand="0" w:oddHBand="0" w:evenHBand="1" w:firstRowFirstColumn="0" w:firstRowLastColumn="0" w:lastRowFirstColumn="0" w:lastRowLastColumn="0"/>
        </w:trPr>
        <w:tc>
          <w:tcPr>
            <w:tcW w:w="1560" w:type="dxa"/>
          </w:tcPr>
          <w:p w14:paraId="66578114" w14:textId="77777777" w:rsidR="00AA2F98" w:rsidRPr="000060A8" w:rsidRDefault="00AA2F98" w:rsidP="00B72986">
            <w:pPr>
              <w:pStyle w:val="Tabletext"/>
            </w:pPr>
            <w:r w:rsidRPr="000060A8">
              <w:t>Shade</w:t>
            </w:r>
          </w:p>
        </w:tc>
        <w:tc>
          <w:tcPr>
            <w:tcW w:w="7371" w:type="dxa"/>
          </w:tcPr>
          <w:p w14:paraId="45FFBC19" w14:textId="77777777" w:rsidR="00AA2F98" w:rsidRPr="000060A8" w:rsidRDefault="00AA2F98" w:rsidP="00AA2F98">
            <w:pPr>
              <w:pStyle w:val="Tabletextbullet"/>
            </w:pPr>
            <w:r w:rsidRPr="000060A8">
              <w:t>Tree pits least every 20 m.</w:t>
            </w:r>
          </w:p>
        </w:tc>
      </w:tr>
      <w:tr w:rsidR="00AA2F98" w:rsidRPr="000060A8" w14:paraId="13830536" w14:textId="77777777" w:rsidTr="00B72986">
        <w:trPr>
          <w:cnfStyle w:val="000000100000" w:firstRow="0" w:lastRow="0" w:firstColumn="0" w:lastColumn="0" w:oddVBand="0" w:evenVBand="0" w:oddHBand="1" w:evenHBand="0" w:firstRowFirstColumn="0" w:firstRowLastColumn="0" w:lastRowFirstColumn="0" w:lastRowLastColumn="0"/>
        </w:trPr>
        <w:tc>
          <w:tcPr>
            <w:tcW w:w="1560" w:type="dxa"/>
          </w:tcPr>
          <w:p w14:paraId="70328E53" w14:textId="77777777" w:rsidR="00AA2F98" w:rsidRPr="000060A8" w:rsidRDefault="00AA2F98" w:rsidP="00B72986">
            <w:pPr>
              <w:pStyle w:val="Tabletext"/>
            </w:pPr>
            <w:r w:rsidRPr="000060A8">
              <w:t>Lighting</w:t>
            </w:r>
          </w:p>
        </w:tc>
        <w:tc>
          <w:tcPr>
            <w:tcW w:w="7371" w:type="dxa"/>
          </w:tcPr>
          <w:p w14:paraId="5E8AF26C" w14:textId="77777777" w:rsidR="00AA2F98" w:rsidRPr="000060A8" w:rsidRDefault="00AA2F98" w:rsidP="00AA2F98">
            <w:pPr>
              <w:pStyle w:val="Tabletextbullet"/>
            </w:pPr>
            <w:r w:rsidRPr="000060A8">
              <w:t>No dark spots on footpath or carriageway.</w:t>
            </w:r>
          </w:p>
        </w:tc>
      </w:tr>
      <w:tr w:rsidR="00AA2F98" w:rsidRPr="000060A8" w14:paraId="35F4FD82" w14:textId="77777777" w:rsidTr="00B72986">
        <w:trPr>
          <w:cnfStyle w:val="000000010000" w:firstRow="0" w:lastRow="0" w:firstColumn="0" w:lastColumn="0" w:oddVBand="0" w:evenVBand="0" w:oddHBand="0" w:evenHBand="1" w:firstRowFirstColumn="0" w:firstRowLastColumn="0" w:lastRowFirstColumn="0" w:lastRowLastColumn="0"/>
        </w:trPr>
        <w:tc>
          <w:tcPr>
            <w:tcW w:w="1560" w:type="dxa"/>
          </w:tcPr>
          <w:p w14:paraId="246B9248" w14:textId="77777777" w:rsidR="00AA2F98" w:rsidRPr="000060A8" w:rsidRDefault="00AA2F98" w:rsidP="00B72986">
            <w:pPr>
              <w:pStyle w:val="Tabletext"/>
            </w:pPr>
            <w:r w:rsidRPr="000060A8">
              <w:t>On-street parking</w:t>
            </w:r>
          </w:p>
        </w:tc>
        <w:tc>
          <w:tcPr>
            <w:tcW w:w="7371" w:type="dxa"/>
          </w:tcPr>
          <w:p w14:paraId="4DD78755" w14:textId="77777777" w:rsidR="00AA2F98" w:rsidRPr="000060A8" w:rsidRDefault="00AA2F98" w:rsidP="00AA2F98">
            <w:pPr>
              <w:pStyle w:val="Tabletextbullet"/>
            </w:pPr>
            <w:r w:rsidRPr="000060A8">
              <w:t>Parking is provided in parallel orientation rather than angled or perpendicular parking.</w:t>
            </w:r>
          </w:p>
          <w:p w14:paraId="606FA40A" w14:textId="77777777" w:rsidR="00AA2F98" w:rsidRPr="000060A8" w:rsidRDefault="00AA2F98" w:rsidP="00AA2F98">
            <w:pPr>
              <w:pStyle w:val="Tabletextbullet"/>
            </w:pPr>
            <w:r w:rsidRPr="000060A8">
              <w:t>Car parking bay size is no more than 5.0 m x 2.0 m</w:t>
            </w:r>
          </w:p>
        </w:tc>
      </w:tr>
      <w:tr w:rsidR="00AA2F98" w:rsidRPr="000060A8" w14:paraId="6602725A" w14:textId="77777777" w:rsidTr="00B72986">
        <w:trPr>
          <w:cnfStyle w:val="000000100000" w:firstRow="0" w:lastRow="0" w:firstColumn="0" w:lastColumn="0" w:oddVBand="0" w:evenVBand="0" w:oddHBand="1" w:evenHBand="0" w:firstRowFirstColumn="0" w:firstRowLastColumn="0" w:lastRowFirstColumn="0" w:lastRowLastColumn="0"/>
        </w:trPr>
        <w:tc>
          <w:tcPr>
            <w:tcW w:w="1560" w:type="dxa"/>
          </w:tcPr>
          <w:p w14:paraId="12AE30F5" w14:textId="77777777" w:rsidR="00AA2F98" w:rsidRPr="000060A8" w:rsidRDefault="00AA2F98" w:rsidP="00B72986">
            <w:pPr>
              <w:pStyle w:val="Tabletext"/>
            </w:pPr>
            <w:r w:rsidRPr="000060A8">
              <w:t xml:space="preserve">Street </w:t>
            </w:r>
            <w:r w:rsidRPr="000060A8">
              <w:br/>
              <w:t>vending</w:t>
            </w:r>
          </w:p>
        </w:tc>
        <w:tc>
          <w:tcPr>
            <w:tcW w:w="7371" w:type="dxa"/>
          </w:tcPr>
          <w:p w14:paraId="3F98DA7B" w14:textId="77777777" w:rsidR="00AA2F98" w:rsidRPr="000060A8" w:rsidRDefault="00AA2F98" w:rsidP="00AA2F98">
            <w:pPr>
              <w:pStyle w:val="Tabletextbullet"/>
            </w:pPr>
            <w:r w:rsidRPr="000060A8">
              <w:t>The design includes designated spaces for organised street vending</w:t>
            </w:r>
          </w:p>
        </w:tc>
      </w:tr>
      <w:tr w:rsidR="00AA2F98" w:rsidRPr="000060A8" w14:paraId="2FBFA849" w14:textId="77777777" w:rsidTr="00B72986">
        <w:trPr>
          <w:cnfStyle w:val="000000010000" w:firstRow="0" w:lastRow="0" w:firstColumn="0" w:lastColumn="0" w:oddVBand="0" w:evenVBand="0" w:oddHBand="0" w:evenHBand="1" w:firstRowFirstColumn="0" w:firstRowLastColumn="0" w:lastRowFirstColumn="0" w:lastRowLastColumn="0"/>
        </w:trPr>
        <w:tc>
          <w:tcPr>
            <w:tcW w:w="1560" w:type="dxa"/>
          </w:tcPr>
          <w:p w14:paraId="06E9E674" w14:textId="77777777" w:rsidR="00AA2F98" w:rsidRPr="000060A8" w:rsidRDefault="00AA2F98" w:rsidP="00B72986">
            <w:pPr>
              <w:pStyle w:val="Tabletext"/>
            </w:pPr>
            <w:r w:rsidRPr="000060A8">
              <w:t>Footpath</w:t>
            </w:r>
          </w:p>
        </w:tc>
        <w:tc>
          <w:tcPr>
            <w:tcW w:w="7371" w:type="dxa"/>
          </w:tcPr>
          <w:p w14:paraId="563A9800" w14:textId="77777777" w:rsidR="00AA2F98" w:rsidRPr="000060A8" w:rsidRDefault="00AA2F98" w:rsidP="00AA2F98">
            <w:pPr>
              <w:pStyle w:val="Tabletextbullet"/>
            </w:pPr>
            <w:r w:rsidRPr="000060A8">
              <w:t>Height of at least 150 mm and no more than 200 mm.</w:t>
            </w:r>
          </w:p>
          <w:p w14:paraId="20E62A1E" w14:textId="77777777" w:rsidR="00AA2F98" w:rsidRPr="000060A8" w:rsidRDefault="00AA2F98" w:rsidP="00AA2F98">
            <w:pPr>
              <w:pStyle w:val="Tabletextbullet"/>
            </w:pPr>
            <w:r w:rsidRPr="000060A8">
              <w:t>Minimum 2 m clear width in all locations.</w:t>
            </w:r>
          </w:p>
          <w:p w14:paraId="38EA8CE0" w14:textId="77777777" w:rsidR="00AA2F98" w:rsidRPr="000060A8" w:rsidRDefault="00AA2F98" w:rsidP="00AA2F98">
            <w:pPr>
              <w:pStyle w:val="Tabletextbullet"/>
            </w:pPr>
            <w:r w:rsidRPr="000060A8">
              <w:t>Wheelchair kerb ramps have a maximum slope of 1:12.</w:t>
            </w:r>
          </w:p>
          <w:p w14:paraId="192B4E43" w14:textId="77777777" w:rsidR="00AA2F98" w:rsidRPr="000060A8" w:rsidRDefault="00AA2F98" w:rsidP="00AA2F98">
            <w:pPr>
              <w:pStyle w:val="Tabletextbullet"/>
            </w:pPr>
            <w:r w:rsidRPr="000060A8">
              <w:t>Bollards installed along the edge of the footpath to prevent driving and parking on the footpath.</w:t>
            </w:r>
          </w:p>
          <w:p w14:paraId="2D660E7F" w14:textId="77777777" w:rsidR="00AA2F98" w:rsidRPr="000060A8" w:rsidRDefault="00AA2F98" w:rsidP="00AA2F98">
            <w:pPr>
              <w:pStyle w:val="Tabletextbullet"/>
            </w:pPr>
            <w:r w:rsidRPr="000060A8">
              <w:t>At least one set of bollards with spacing of 1,200 mm.</w:t>
            </w:r>
          </w:p>
          <w:p w14:paraId="3F46F3C8" w14:textId="77777777" w:rsidR="00AA2F98" w:rsidRPr="000060A8" w:rsidRDefault="00AA2F98" w:rsidP="00AA2F98">
            <w:pPr>
              <w:pStyle w:val="Tabletextbullet"/>
            </w:pPr>
            <w:r w:rsidRPr="000060A8">
              <w:t>The footpath surface is uniform and non-slippery, with slope of 1:100 to avoid water stagnation.</w:t>
            </w:r>
          </w:p>
          <w:p w14:paraId="20030ABD" w14:textId="77777777" w:rsidR="00AA2F98" w:rsidRPr="000060A8" w:rsidRDefault="00AA2F98" w:rsidP="00AA2F98">
            <w:pPr>
              <w:pStyle w:val="Tabletextbullet"/>
            </w:pPr>
            <w:r w:rsidRPr="000060A8">
              <w:t>Tactile warning are strips located at transition points (e.g., mid-block crossings, intersections).</w:t>
            </w:r>
          </w:p>
        </w:tc>
      </w:tr>
      <w:tr w:rsidR="00AA2F98" w:rsidRPr="000060A8" w14:paraId="0CDAD739" w14:textId="77777777" w:rsidTr="00B72986">
        <w:trPr>
          <w:cnfStyle w:val="000000100000" w:firstRow="0" w:lastRow="0" w:firstColumn="0" w:lastColumn="0" w:oddVBand="0" w:evenVBand="0" w:oddHBand="1" w:evenHBand="0" w:firstRowFirstColumn="0" w:firstRowLastColumn="0" w:lastRowFirstColumn="0" w:lastRowLastColumn="0"/>
        </w:trPr>
        <w:tc>
          <w:tcPr>
            <w:tcW w:w="1560" w:type="dxa"/>
          </w:tcPr>
          <w:p w14:paraId="66A7D820" w14:textId="77777777" w:rsidR="00AA2F98" w:rsidRPr="000060A8" w:rsidRDefault="00AA2F98" w:rsidP="00B72986">
            <w:pPr>
              <w:pStyle w:val="Tabletext"/>
            </w:pPr>
            <w:r w:rsidRPr="000060A8">
              <w:t>Cycle track</w:t>
            </w:r>
          </w:p>
        </w:tc>
        <w:tc>
          <w:tcPr>
            <w:tcW w:w="7371" w:type="dxa"/>
          </w:tcPr>
          <w:p w14:paraId="501B3B23" w14:textId="77777777" w:rsidR="00AA2F98" w:rsidRPr="000060A8" w:rsidRDefault="00AA2F98" w:rsidP="00AA2F98">
            <w:pPr>
              <w:pStyle w:val="Tabletextbullet"/>
            </w:pPr>
            <w:r w:rsidRPr="000060A8">
              <w:t>Physically separated from the carriageway.</w:t>
            </w:r>
          </w:p>
          <w:p w14:paraId="3FB87CB1" w14:textId="77777777" w:rsidR="00AA2F98" w:rsidRPr="000060A8" w:rsidRDefault="00AA2F98" w:rsidP="00AA2F98">
            <w:pPr>
              <w:pStyle w:val="Tabletextbullet"/>
            </w:pPr>
            <w:r w:rsidRPr="000060A8">
              <w:t>Elevated above the carriageway</w:t>
            </w:r>
          </w:p>
          <w:p w14:paraId="23945703" w14:textId="77777777" w:rsidR="00AA2F98" w:rsidRPr="000060A8" w:rsidRDefault="00AA2F98" w:rsidP="00AA2F98">
            <w:pPr>
              <w:pStyle w:val="Tabletextbullet"/>
            </w:pPr>
            <w:r w:rsidRPr="000060A8">
              <w:t>Clear width ≥ 2 m for one-way movement; ≥ 2.5 m for two-way movement.</w:t>
            </w:r>
          </w:p>
        </w:tc>
      </w:tr>
      <w:tr w:rsidR="00AA2F98" w:rsidRPr="000060A8" w14:paraId="07072C35" w14:textId="77777777" w:rsidTr="00B72986">
        <w:trPr>
          <w:cnfStyle w:val="000000010000" w:firstRow="0" w:lastRow="0" w:firstColumn="0" w:lastColumn="0" w:oddVBand="0" w:evenVBand="0" w:oddHBand="0" w:evenHBand="1" w:firstRowFirstColumn="0" w:firstRowLastColumn="0" w:lastRowFirstColumn="0" w:lastRowLastColumn="0"/>
        </w:trPr>
        <w:tc>
          <w:tcPr>
            <w:tcW w:w="1560" w:type="dxa"/>
          </w:tcPr>
          <w:p w14:paraId="427F63F9" w14:textId="77777777" w:rsidR="00AA2F98" w:rsidRPr="000060A8" w:rsidRDefault="00AA2F98" w:rsidP="00B72986">
            <w:pPr>
              <w:pStyle w:val="Tabletext"/>
            </w:pPr>
            <w:r w:rsidRPr="000060A8">
              <w:lastRenderedPageBreak/>
              <w:t>Property entrances</w:t>
            </w:r>
          </w:p>
        </w:tc>
        <w:tc>
          <w:tcPr>
            <w:tcW w:w="7371" w:type="dxa"/>
          </w:tcPr>
          <w:p w14:paraId="2C2B1F20" w14:textId="77777777" w:rsidR="00AA2F98" w:rsidRPr="000060A8" w:rsidRDefault="00AA2F98" w:rsidP="00AA2F98">
            <w:pPr>
              <w:pStyle w:val="Tabletextbullet"/>
            </w:pPr>
            <w:r w:rsidRPr="000060A8">
              <w:t>The footpath remains at the same level through property entrances.</w:t>
            </w:r>
          </w:p>
          <w:p w14:paraId="0D55D609" w14:textId="77777777" w:rsidR="00AA2F98" w:rsidRPr="000060A8" w:rsidRDefault="00AA2F98" w:rsidP="00AA2F98">
            <w:pPr>
              <w:pStyle w:val="Tabletextbullet"/>
            </w:pPr>
            <w:r w:rsidRPr="000060A8">
              <w:t>Bollards are installed on either side of each entrance to prevent driving and parking.</w:t>
            </w:r>
          </w:p>
          <w:p w14:paraId="3100CEB8" w14:textId="77777777" w:rsidR="00AA2F98" w:rsidRPr="000060A8" w:rsidRDefault="00AA2F98" w:rsidP="00AA2F98">
            <w:pPr>
              <w:pStyle w:val="Tabletextbullet"/>
            </w:pPr>
            <w:r w:rsidRPr="000060A8">
              <w:t>Property access is provided at a discrete location for each plot, with a maximum entrance width of 6 m</w:t>
            </w:r>
          </w:p>
        </w:tc>
      </w:tr>
    </w:tbl>
    <w:p w14:paraId="3937AC0B" w14:textId="77777777" w:rsidR="00AA2F98" w:rsidRDefault="00AA2F98" w:rsidP="00AA2F98"/>
    <w:p w14:paraId="3D66AC09" w14:textId="30F274E7" w:rsidR="00800A61" w:rsidRDefault="00851657" w:rsidP="00851657">
      <w:pPr>
        <w:pStyle w:val="Heading1"/>
      </w:pPr>
      <w:bookmarkStart w:id="166" w:name="_Toc7200533"/>
      <w:r>
        <w:t>Stakeholder engagement</w:t>
      </w:r>
      <w:bookmarkEnd w:id="166"/>
    </w:p>
    <w:p w14:paraId="607B8640" w14:textId="7DDA3843" w:rsidR="00851657" w:rsidRDefault="00851657" w:rsidP="00800A61"/>
    <w:p w14:paraId="37AD5B93" w14:textId="40CE276A" w:rsidR="00851657" w:rsidRPr="00801096" w:rsidRDefault="00C8714B" w:rsidP="00851657">
      <w:pPr>
        <w:pStyle w:val="Caption"/>
        <w:rPr>
          <w:b w:val="0"/>
        </w:rPr>
      </w:pPr>
      <w:r>
        <w:rPr>
          <w:b w:val="0"/>
        </w:rPr>
        <w:t>[</w:t>
      </w:r>
      <w:r w:rsidR="00801096" w:rsidRPr="00801096">
        <w:rPr>
          <w:b w:val="0"/>
        </w:rPr>
        <w:t>Document s</w:t>
      </w:r>
      <w:r w:rsidR="00851657" w:rsidRPr="00801096">
        <w:rPr>
          <w:b w:val="0"/>
        </w:rPr>
        <w:t xml:space="preserve">takeholder meetings held to inform the </w:t>
      </w:r>
      <w:r>
        <w:rPr>
          <w:b w:val="0"/>
        </w:rPr>
        <w:t>preparation of the NMT Strategy]</w:t>
      </w:r>
    </w:p>
    <w:p w14:paraId="35B456E3" w14:textId="77777777" w:rsidR="00851657" w:rsidRPr="00851657" w:rsidRDefault="00851657" w:rsidP="00851657"/>
    <w:sectPr w:rsidR="00851657" w:rsidRPr="00851657" w:rsidSect="00EC4A05">
      <w:pgSz w:w="11900" w:h="16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A0153" w14:textId="77777777" w:rsidR="008C7FE8" w:rsidRDefault="008C7FE8" w:rsidP="001A1932">
      <w:r>
        <w:separator/>
      </w:r>
    </w:p>
  </w:endnote>
  <w:endnote w:type="continuationSeparator" w:id="0">
    <w:p w14:paraId="03D10799" w14:textId="77777777" w:rsidR="008C7FE8" w:rsidRDefault="008C7FE8" w:rsidP="001A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Gothic"/>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B0604020202020204"/>
    <w:charset w:val="00"/>
    <w:family w:val="swiss"/>
    <w:pitch w:val="variable"/>
    <w:sig w:usb0="0004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90B64" w14:textId="77777777" w:rsidR="00215CC8" w:rsidRDefault="00215CC8" w:rsidP="00663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lxiv</w:t>
    </w:r>
    <w:r>
      <w:rPr>
        <w:rStyle w:val="PageNumber"/>
      </w:rPr>
      <w:fldChar w:fldCharType="end"/>
    </w:r>
  </w:p>
  <w:p w14:paraId="5616DBFC" w14:textId="77777777" w:rsidR="00215CC8" w:rsidRDefault="00215CC8">
    <w:pPr>
      <w:pStyle w:val="HeaderFooter"/>
      <w:jc w:val="center"/>
      <w:rPr>
        <w:rFonts w:ascii="Times New Roman" w:eastAsia="Times New Roman" w:hAnsi="Times New Roman"/>
        <w:color w:val="auto"/>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F4EAF" w14:textId="77777777" w:rsidR="00215CC8" w:rsidRPr="00FB585F" w:rsidRDefault="00215CC8" w:rsidP="00663CB8">
    <w:pPr>
      <w:pStyle w:val="Footer"/>
      <w:framePr w:wrap="around" w:vAnchor="text" w:hAnchor="margin" w:xAlign="center" w:y="1"/>
      <w:rPr>
        <w:rFonts w:ascii="Trebuchet MS" w:hAnsi="Trebuchet M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1780" w14:textId="5B219631" w:rsidR="00215CC8" w:rsidRPr="00FB585F" w:rsidRDefault="00215CC8" w:rsidP="00663CB8">
    <w:pPr>
      <w:pStyle w:val="Footer"/>
      <w:framePr w:wrap="around" w:vAnchor="text" w:hAnchor="margin" w:xAlign="center" w:y="1"/>
      <w:rPr>
        <w:rFonts w:ascii="Trebuchet MS" w:hAnsi="Trebuchet MS"/>
        <w:sz w:val="20"/>
      </w:rPr>
    </w:pPr>
    <w:r w:rsidRPr="00FB585F">
      <w:rPr>
        <w:rStyle w:val="PageNumber"/>
        <w:rFonts w:ascii="Trebuchet MS" w:hAnsi="Trebuchet MS"/>
        <w:sz w:val="20"/>
      </w:rPr>
      <w:fldChar w:fldCharType="begin"/>
    </w:r>
    <w:r w:rsidRPr="00FB585F">
      <w:rPr>
        <w:rStyle w:val="PageNumber"/>
        <w:rFonts w:ascii="Trebuchet MS" w:hAnsi="Trebuchet MS"/>
        <w:sz w:val="20"/>
      </w:rPr>
      <w:instrText xml:space="preserve"> PAGE </w:instrText>
    </w:r>
    <w:r w:rsidRPr="00FB585F">
      <w:rPr>
        <w:rStyle w:val="PageNumber"/>
        <w:rFonts w:ascii="Trebuchet MS" w:hAnsi="Trebuchet MS"/>
        <w:sz w:val="20"/>
      </w:rPr>
      <w:fldChar w:fldCharType="separate"/>
    </w:r>
    <w:r>
      <w:rPr>
        <w:rStyle w:val="PageNumber"/>
        <w:rFonts w:ascii="Trebuchet MS" w:hAnsi="Trebuchet MS"/>
        <w:noProof/>
        <w:sz w:val="20"/>
      </w:rPr>
      <w:t>ii</w:t>
    </w:r>
    <w:r w:rsidRPr="00FB585F">
      <w:rPr>
        <w:rStyle w:val="PageNumber"/>
        <w:rFonts w:ascii="Trebuchet MS" w:hAnsi="Trebuchet M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CC12" w14:textId="6A24BC84" w:rsidR="00215CC8" w:rsidRPr="00FB585F" w:rsidRDefault="00215CC8" w:rsidP="00663CB8">
    <w:pPr>
      <w:pStyle w:val="Footer"/>
      <w:framePr w:wrap="around" w:vAnchor="text" w:hAnchor="margin" w:xAlign="center" w:y="1"/>
      <w:rPr>
        <w:rFonts w:ascii="Trebuchet MS" w:hAnsi="Trebuchet MS"/>
        <w:sz w:val="20"/>
      </w:rPr>
    </w:pPr>
    <w:r w:rsidRPr="00FB585F">
      <w:rPr>
        <w:rStyle w:val="PageNumber"/>
        <w:rFonts w:ascii="Trebuchet MS" w:hAnsi="Trebuchet MS"/>
        <w:sz w:val="20"/>
      </w:rPr>
      <w:fldChar w:fldCharType="begin"/>
    </w:r>
    <w:r w:rsidRPr="00FB585F">
      <w:rPr>
        <w:rStyle w:val="PageNumber"/>
        <w:rFonts w:ascii="Trebuchet MS" w:hAnsi="Trebuchet MS"/>
        <w:sz w:val="20"/>
      </w:rPr>
      <w:instrText xml:space="preserve"> PAGE </w:instrText>
    </w:r>
    <w:r w:rsidRPr="00FB585F">
      <w:rPr>
        <w:rStyle w:val="PageNumber"/>
        <w:rFonts w:ascii="Trebuchet MS" w:hAnsi="Trebuchet MS"/>
        <w:sz w:val="20"/>
      </w:rPr>
      <w:fldChar w:fldCharType="separate"/>
    </w:r>
    <w:r>
      <w:rPr>
        <w:rStyle w:val="PageNumber"/>
        <w:rFonts w:ascii="Trebuchet MS" w:hAnsi="Trebuchet MS"/>
        <w:noProof/>
        <w:sz w:val="20"/>
      </w:rPr>
      <w:t>5</w:t>
    </w:r>
    <w:r w:rsidRPr="00FB585F">
      <w:rPr>
        <w:rStyle w:val="PageNumber"/>
        <w:rFonts w:ascii="Trebuchet MS" w:hAnsi="Trebuchet M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88F0" w14:textId="77777777" w:rsidR="008C7FE8" w:rsidRDefault="008C7FE8" w:rsidP="001A1932">
      <w:r>
        <w:separator/>
      </w:r>
    </w:p>
  </w:footnote>
  <w:footnote w:type="continuationSeparator" w:id="0">
    <w:p w14:paraId="0B671D0C" w14:textId="77777777" w:rsidR="008C7FE8" w:rsidRDefault="008C7FE8" w:rsidP="001A1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6C01" w14:textId="47589C1D" w:rsidR="00215CC8" w:rsidRDefault="00215CC8">
    <w:pPr>
      <w:pStyle w:val="Header"/>
    </w:pPr>
    <w:r>
      <w:rPr>
        <w:noProof/>
        <w:lang w:val="en-US" w:eastAsia="zh-TW"/>
      </w:rPr>
      <w:drawing>
        <wp:anchor distT="0" distB="0" distL="114300" distR="114300" simplePos="0" relativeHeight="251658240" behindDoc="1" locked="0" layoutInCell="1" allowOverlap="1" wp14:anchorId="64F0D74B" wp14:editId="19862885">
          <wp:simplePos x="0" y="0"/>
          <wp:positionH relativeFrom="column">
            <wp:posOffset>-935990</wp:posOffset>
          </wp:positionH>
          <wp:positionV relativeFrom="paragraph">
            <wp:posOffset>-480701</wp:posOffset>
          </wp:positionV>
          <wp:extent cx="7584440" cy="10732770"/>
          <wp:effectExtent l="0" t="0" r="0" b="0"/>
          <wp:wrapNone/>
          <wp:docPr id="2" name="Picture 2" descr="/Users/admin/Library/Mobile Documents/com~apple~CloudDocs/Documents/ITDP Africa/Admin/Templates/Word templates/Background/Background image 16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Library/Mobile Documents/com~apple~CloudDocs/Documents/ITDP Africa/Admin/Templates/Word templates/Background/Background image 1608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4440" cy="1073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F8D">
      <w:rPr>
        <w:noProof/>
        <w:lang w:val="en-US" w:eastAsia="zh-TW"/>
      </w:rPr>
      <w:drawing>
        <wp:anchor distT="0" distB="0" distL="114300" distR="114300" simplePos="0" relativeHeight="251663360" behindDoc="0" locked="0" layoutInCell="1" allowOverlap="1" wp14:anchorId="611D2EAF" wp14:editId="642E8470">
          <wp:simplePos x="0" y="0"/>
          <wp:positionH relativeFrom="column">
            <wp:posOffset>-22225</wp:posOffset>
          </wp:positionH>
          <wp:positionV relativeFrom="paragraph">
            <wp:posOffset>159073</wp:posOffset>
          </wp:positionV>
          <wp:extent cx="1230630" cy="654050"/>
          <wp:effectExtent l="0" t="0" r="1270" b="6350"/>
          <wp:wrapNone/>
          <wp:docPr id="15" name="Picture 4">
            <a:extLst xmlns:a="http://schemas.openxmlformats.org/drawingml/2006/main">
              <a:ext uri="{FF2B5EF4-FFF2-40B4-BE49-F238E27FC236}">
                <a16:creationId xmlns:a16="http://schemas.microsoft.com/office/drawing/2014/main" id="{4C496FC8-33E7-8F48-AEAF-1379870DF6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C496FC8-33E7-8F48-AEAF-1379870DF663}"/>
                      </a:ext>
                    </a:extLst>
                  </pic:cNvPr>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0" y="0"/>
                    <a:ext cx="1230630" cy="654050"/>
                  </a:xfrm>
                  <a:prstGeom prst="rect">
                    <a:avLst/>
                  </a:prstGeom>
                </pic:spPr>
              </pic:pic>
            </a:graphicData>
          </a:graphic>
          <wp14:sizeRelH relativeFrom="margin">
            <wp14:pctWidth>0</wp14:pctWidth>
          </wp14:sizeRelH>
          <wp14:sizeRelV relativeFrom="margin">
            <wp14:pctHeight>0</wp14:pctHeight>
          </wp14:sizeRelV>
        </wp:anchor>
      </w:drawing>
    </w:r>
    <w:r w:rsidRPr="00C84F8D">
      <w:rPr>
        <w:noProof/>
        <w:lang w:val="en-US" w:eastAsia="zh-TW"/>
      </w:rPr>
      <w:drawing>
        <wp:anchor distT="0" distB="0" distL="114300" distR="114300" simplePos="0" relativeHeight="251662336" behindDoc="0" locked="0" layoutInCell="1" allowOverlap="1" wp14:anchorId="5CAEBC6F" wp14:editId="21911144">
          <wp:simplePos x="0" y="0"/>
          <wp:positionH relativeFrom="column">
            <wp:posOffset>1824922</wp:posOffset>
          </wp:positionH>
          <wp:positionV relativeFrom="paragraph">
            <wp:posOffset>148278</wp:posOffset>
          </wp:positionV>
          <wp:extent cx="1134745" cy="768350"/>
          <wp:effectExtent l="0" t="0" r="0" b="6350"/>
          <wp:wrapNone/>
          <wp:docPr id="14" name="Picture 2">
            <a:extLst xmlns:a="http://schemas.openxmlformats.org/drawingml/2006/main">
              <a:ext uri="{FF2B5EF4-FFF2-40B4-BE49-F238E27FC236}">
                <a16:creationId xmlns:a16="http://schemas.microsoft.com/office/drawing/2014/main" id="{33F669D5-DA4A-AC4F-B45D-62582C8FC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3F669D5-DA4A-AC4F-B45D-62582C8FCAD4}"/>
                      </a:ext>
                    </a:extLst>
                  </pic:cNvPr>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0" y="0"/>
                    <a:ext cx="1134745" cy="768350"/>
                  </a:xfrm>
                  <a:prstGeom prst="rect">
                    <a:avLst/>
                  </a:prstGeom>
                </pic:spPr>
              </pic:pic>
            </a:graphicData>
          </a:graphic>
          <wp14:sizeRelH relativeFrom="margin">
            <wp14:pctWidth>0</wp14:pctWidth>
          </wp14:sizeRelH>
          <wp14:sizeRelV relativeFrom="margin">
            <wp14:pctHeight>0</wp14:pctHeight>
          </wp14:sizeRelV>
        </wp:anchor>
      </w:drawing>
    </w:r>
    <w:r w:rsidRPr="00C84F8D">
      <w:rPr>
        <w:noProof/>
        <w:lang w:val="en-US" w:eastAsia="zh-TW"/>
      </w:rPr>
      <w:drawing>
        <wp:anchor distT="0" distB="0" distL="114300" distR="114300" simplePos="0" relativeHeight="251660288" behindDoc="1" locked="0" layoutInCell="1" allowOverlap="1" wp14:anchorId="11EFCB71" wp14:editId="542EB6E3">
          <wp:simplePos x="0" y="0"/>
          <wp:positionH relativeFrom="column">
            <wp:posOffset>3682266</wp:posOffset>
          </wp:positionH>
          <wp:positionV relativeFrom="paragraph">
            <wp:posOffset>169006</wp:posOffset>
          </wp:positionV>
          <wp:extent cx="1733550" cy="625475"/>
          <wp:effectExtent l="0" t="0" r="6350" b="0"/>
          <wp:wrapNone/>
          <wp:docPr id="3" name="Picture 3" descr="../../../../../../ITDP%20India/Admin/Graphics/Logos%20ITDP/ITDP%20Bug/ITDP_BugPMS35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DP%20India/Admin/Graphics/Logos%20ITDP/ITDP%20Bug/ITDP_BugPMS355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625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3262" w14:textId="77777777" w:rsidR="00215CC8" w:rsidRDefault="00215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FF1"/>
    <w:multiLevelType w:val="hybridMultilevel"/>
    <w:tmpl w:val="405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4FF7"/>
    <w:multiLevelType w:val="hybridMultilevel"/>
    <w:tmpl w:val="120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52C9"/>
    <w:multiLevelType w:val="hybridMultilevel"/>
    <w:tmpl w:val="52CA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7956"/>
    <w:multiLevelType w:val="hybridMultilevel"/>
    <w:tmpl w:val="67A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43854"/>
    <w:multiLevelType w:val="hybridMultilevel"/>
    <w:tmpl w:val="4048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81FBB"/>
    <w:multiLevelType w:val="hybridMultilevel"/>
    <w:tmpl w:val="06F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20EFF"/>
    <w:multiLevelType w:val="hybridMultilevel"/>
    <w:tmpl w:val="663C641C"/>
    <w:lvl w:ilvl="0" w:tplc="1286E15E">
      <w:start w:val="1"/>
      <w:numFmt w:val="bullet"/>
      <w:pStyle w:val="Tabletextbullet"/>
      <w:lvlText w:val=""/>
      <w:lvlJc w:val="left"/>
      <w:pPr>
        <w:ind w:left="248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D39CA"/>
    <w:multiLevelType w:val="multilevel"/>
    <w:tmpl w:val="E404F0E6"/>
    <w:lvl w:ilvl="0">
      <w:start w:val="1"/>
      <w:numFmt w:val="decimal"/>
      <w:lvlText w:val="%1."/>
      <w:lvlJc w:val="left"/>
      <w:pPr>
        <w:ind w:left="2203"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576"/>
      </w:pPr>
      <w:rPr>
        <w:rFonts w:ascii="Times New Roman" w:hAnsi="Times New Roman" w:cs="Times New Roman"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7443B5"/>
    <w:multiLevelType w:val="hybridMultilevel"/>
    <w:tmpl w:val="8056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C559C"/>
    <w:multiLevelType w:val="hybridMultilevel"/>
    <w:tmpl w:val="1FD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04313"/>
    <w:multiLevelType w:val="hybridMultilevel"/>
    <w:tmpl w:val="347E43FE"/>
    <w:lvl w:ilvl="0" w:tplc="C7C8EC86">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E798F"/>
    <w:multiLevelType w:val="hybridMultilevel"/>
    <w:tmpl w:val="3BB2A38A"/>
    <w:lvl w:ilvl="0" w:tplc="6CAC9B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827E0"/>
    <w:multiLevelType w:val="multilevel"/>
    <w:tmpl w:val="CF42D54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rebuchet MS" w:hAnsi="Trebuchet M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D530D08"/>
    <w:multiLevelType w:val="hybridMultilevel"/>
    <w:tmpl w:val="34C2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94A44"/>
    <w:multiLevelType w:val="hybridMultilevel"/>
    <w:tmpl w:val="9626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025AF"/>
    <w:multiLevelType w:val="hybridMultilevel"/>
    <w:tmpl w:val="EDE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D7E33"/>
    <w:multiLevelType w:val="hybridMultilevel"/>
    <w:tmpl w:val="29F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86211"/>
    <w:multiLevelType w:val="hybridMultilevel"/>
    <w:tmpl w:val="CDF4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1"/>
  </w:num>
  <w:num w:numId="4">
    <w:abstractNumId w:val="10"/>
  </w:num>
  <w:num w:numId="5">
    <w:abstractNumId w:val="6"/>
  </w:num>
  <w:num w:numId="6">
    <w:abstractNumId w:val="14"/>
  </w:num>
  <w:num w:numId="7">
    <w:abstractNumId w:val="16"/>
  </w:num>
  <w:num w:numId="8">
    <w:abstractNumId w:val="5"/>
  </w:num>
  <w:num w:numId="9">
    <w:abstractNumId w:val="7"/>
  </w:num>
  <w:num w:numId="10">
    <w:abstractNumId w:val="8"/>
  </w:num>
  <w:num w:numId="11">
    <w:abstractNumId w:val="4"/>
  </w:num>
  <w:num w:numId="12">
    <w:abstractNumId w:val="3"/>
  </w:num>
  <w:num w:numId="13">
    <w:abstractNumId w:val="17"/>
  </w:num>
  <w:num w:numId="14">
    <w:abstractNumId w:val="9"/>
  </w:num>
  <w:num w:numId="15">
    <w:abstractNumId w:val="15"/>
  </w:num>
  <w:num w:numId="16">
    <w:abstractNumId w:val="0"/>
  </w:num>
  <w:num w:numId="17">
    <w:abstractNumId w:val="1"/>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68"/>
    <w:rsid w:val="00003238"/>
    <w:rsid w:val="00004799"/>
    <w:rsid w:val="00010532"/>
    <w:rsid w:val="00011DAD"/>
    <w:rsid w:val="000123BB"/>
    <w:rsid w:val="000138BA"/>
    <w:rsid w:val="0001710A"/>
    <w:rsid w:val="00017ACA"/>
    <w:rsid w:val="00020F17"/>
    <w:rsid w:val="0002227E"/>
    <w:rsid w:val="0002552C"/>
    <w:rsid w:val="000256DC"/>
    <w:rsid w:val="00025A7F"/>
    <w:rsid w:val="00026BDA"/>
    <w:rsid w:val="0002743D"/>
    <w:rsid w:val="000308B2"/>
    <w:rsid w:val="000309A2"/>
    <w:rsid w:val="00031604"/>
    <w:rsid w:val="00034000"/>
    <w:rsid w:val="00035660"/>
    <w:rsid w:val="00035A87"/>
    <w:rsid w:val="00035AEB"/>
    <w:rsid w:val="0003715A"/>
    <w:rsid w:val="00040C0E"/>
    <w:rsid w:val="0004133F"/>
    <w:rsid w:val="0004388F"/>
    <w:rsid w:val="00044A17"/>
    <w:rsid w:val="0004520B"/>
    <w:rsid w:val="000457D9"/>
    <w:rsid w:val="00045B83"/>
    <w:rsid w:val="00046585"/>
    <w:rsid w:val="00046C98"/>
    <w:rsid w:val="000472FC"/>
    <w:rsid w:val="00047621"/>
    <w:rsid w:val="00050014"/>
    <w:rsid w:val="00050D7A"/>
    <w:rsid w:val="00054E34"/>
    <w:rsid w:val="000561D1"/>
    <w:rsid w:val="000565DE"/>
    <w:rsid w:val="000565E2"/>
    <w:rsid w:val="000573AE"/>
    <w:rsid w:val="000576CB"/>
    <w:rsid w:val="000577E5"/>
    <w:rsid w:val="00061A72"/>
    <w:rsid w:val="00063A08"/>
    <w:rsid w:val="00064062"/>
    <w:rsid w:val="00064CFF"/>
    <w:rsid w:val="000702D9"/>
    <w:rsid w:val="000754E5"/>
    <w:rsid w:val="00075DFC"/>
    <w:rsid w:val="00076662"/>
    <w:rsid w:val="00077325"/>
    <w:rsid w:val="00077B21"/>
    <w:rsid w:val="00080533"/>
    <w:rsid w:val="00081A75"/>
    <w:rsid w:val="00082030"/>
    <w:rsid w:val="00082EE4"/>
    <w:rsid w:val="00084DDD"/>
    <w:rsid w:val="00087215"/>
    <w:rsid w:val="00091A52"/>
    <w:rsid w:val="00091D7A"/>
    <w:rsid w:val="000924F2"/>
    <w:rsid w:val="00095905"/>
    <w:rsid w:val="00095BAC"/>
    <w:rsid w:val="000969BE"/>
    <w:rsid w:val="00096C55"/>
    <w:rsid w:val="000972F1"/>
    <w:rsid w:val="000A16FC"/>
    <w:rsid w:val="000A4890"/>
    <w:rsid w:val="000A6B16"/>
    <w:rsid w:val="000A7A2F"/>
    <w:rsid w:val="000B10BB"/>
    <w:rsid w:val="000B50EB"/>
    <w:rsid w:val="000B6085"/>
    <w:rsid w:val="000B62D1"/>
    <w:rsid w:val="000B6674"/>
    <w:rsid w:val="000C38B4"/>
    <w:rsid w:val="000C3C8C"/>
    <w:rsid w:val="000C3DCA"/>
    <w:rsid w:val="000C4F8D"/>
    <w:rsid w:val="000C52C4"/>
    <w:rsid w:val="000C659C"/>
    <w:rsid w:val="000C7280"/>
    <w:rsid w:val="000D0CFD"/>
    <w:rsid w:val="000D0DD5"/>
    <w:rsid w:val="000D1888"/>
    <w:rsid w:val="000D490E"/>
    <w:rsid w:val="000D4D42"/>
    <w:rsid w:val="000D7DEE"/>
    <w:rsid w:val="000E0F6D"/>
    <w:rsid w:val="000E14A6"/>
    <w:rsid w:val="000E2568"/>
    <w:rsid w:val="000E3D3A"/>
    <w:rsid w:val="000E4B3C"/>
    <w:rsid w:val="000E5CF8"/>
    <w:rsid w:val="000F04DA"/>
    <w:rsid w:val="000F0F26"/>
    <w:rsid w:val="000F146C"/>
    <w:rsid w:val="000F2DB4"/>
    <w:rsid w:val="000F3F89"/>
    <w:rsid w:val="000F405B"/>
    <w:rsid w:val="000F5B6B"/>
    <w:rsid w:val="000F68C4"/>
    <w:rsid w:val="000F68F0"/>
    <w:rsid w:val="000F7455"/>
    <w:rsid w:val="001000C3"/>
    <w:rsid w:val="00100A08"/>
    <w:rsid w:val="00101F07"/>
    <w:rsid w:val="00102571"/>
    <w:rsid w:val="00103E31"/>
    <w:rsid w:val="00106440"/>
    <w:rsid w:val="00107182"/>
    <w:rsid w:val="00107706"/>
    <w:rsid w:val="001078A1"/>
    <w:rsid w:val="0011042C"/>
    <w:rsid w:val="00112497"/>
    <w:rsid w:val="001142BD"/>
    <w:rsid w:val="0011566B"/>
    <w:rsid w:val="00116544"/>
    <w:rsid w:val="00120101"/>
    <w:rsid w:val="0012121D"/>
    <w:rsid w:val="00121FCB"/>
    <w:rsid w:val="00124800"/>
    <w:rsid w:val="00124A70"/>
    <w:rsid w:val="00125412"/>
    <w:rsid w:val="001254F7"/>
    <w:rsid w:val="0012576F"/>
    <w:rsid w:val="00125CC5"/>
    <w:rsid w:val="00125E57"/>
    <w:rsid w:val="00126435"/>
    <w:rsid w:val="0012698E"/>
    <w:rsid w:val="001269EC"/>
    <w:rsid w:val="00132A01"/>
    <w:rsid w:val="00132BB7"/>
    <w:rsid w:val="001350D8"/>
    <w:rsid w:val="00135462"/>
    <w:rsid w:val="00140AEC"/>
    <w:rsid w:val="00145590"/>
    <w:rsid w:val="00146933"/>
    <w:rsid w:val="0015137B"/>
    <w:rsid w:val="00151DED"/>
    <w:rsid w:val="00153768"/>
    <w:rsid w:val="00160AB3"/>
    <w:rsid w:val="001624F8"/>
    <w:rsid w:val="00162935"/>
    <w:rsid w:val="00164928"/>
    <w:rsid w:val="001652D9"/>
    <w:rsid w:val="00165449"/>
    <w:rsid w:val="001665B1"/>
    <w:rsid w:val="0016711D"/>
    <w:rsid w:val="00170069"/>
    <w:rsid w:val="001706EC"/>
    <w:rsid w:val="0017188B"/>
    <w:rsid w:val="00171B91"/>
    <w:rsid w:val="00174110"/>
    <w:rsid w:val="00174A63"/>
    <w:rsid w:val="0017508E"/>
    <w:rsid w:val="0018205D"/>
    <w:rsid w:val="0018297A"/>
    <w:rsid w:val="00183AD4"/>
    <w:rsid w:val="00184B56"/>
    <w:rsid w:val="00184CB6"/>
    <w:rsid w:val="001870FE"/>
    <w:rsid w:val="00187CC6"/>
    <w:rsid w:val="00187E01"/>
    <w:rsid w:val="00191710"/>
    <w:rsid w:val="00192C22"/>
    <w:rsid w:val="0019568B"/>
    <w:rsid w:val="001A1729"/>
    <w:rsid w:val="001A1932"/>
    <w:rsid w:val="001A2E5D"/>
    <w:rsid w:val="001A3F84"/>
    <w:rsid w:val="001A512F"/>
    <w:rsid w:val="001A637D"/>
    <w:rsid w:val="001A6F37"/>
    <w:rsid w:val="001A7818"/>
    <w:rsid w:val="001A788B"/>
    <w:rsid w:val="001B05C0"/>
    <w:rsid w:val="001B10A2"/>
    <w:rsid w:val="001B274E"/>
    <w:rsid w:val="001B4D80"/>
    <w:rsid w:val="001B5586"/>
    <w:rsid w:val="001B61AB"/>
    <w:rsid w:val="001B69AB"/>
    <w:rsid w:val="001B6A17"/>
    <w:rsid w:val="001B6E85"/>
    <w:rsid w:val="001C176C"/>
    <w:rsid w:val="001C2D70"/>
    <w:rsid w:val="001C3806"/>
    <w:rsid w:val="001C42DA"/>
    <w:rsid w:val="001C4342"/>
    <w:rsid w:val="001C4CE9"/>
    <w:rsid w:val="001C5F6D"/>
    <w:rsid w:val="001C768C"/>
    <w:rsid w:val="001D2186"/>
    <w:rsid w:val="001D30E1"/>
    <w:rsid w:val="001D3229"/>
    <w:rsid w:val="001D3316"/>
    <w:rsid w:val="001D6A09"/>
    <w:rsid w:val="001E22CF"/>
    <w:rsid w:val="001E40C1"/>
    <w:rsid w:val="001E4221"/>
    <w:rsid w:val="001E45E2"/>
    <w:rsid w:val="001E4669"/>
    <w:rsid w:val="001F5951"/>
    <w:rsid w:val="001F5D0E"/>
    <w:rsid w:val="001F5E8F"/>
    <w:rsid w:val="001F60F2"/>
    <w:rsid w:val="001F620A"/>
    <w:rsid w:val="001F754F"/>
    <w:rsid w:val="001F7F27"/>
    <w:rsid w:val="00200252"/>
    <w:rsid w:val="00201A77"/>
    <w:rsid w:val="00201AD4"/>
    <w:rsid w:val="002020EC"/>
    <w:rsid w:val="00202401"/>
    <w:rsid w:val="00203881"/>
    <w:rsid w:val="00203BD5"/>
    <w:rsid w:val="00204A88"/>
    <w:rsid w:val="00204ED8"/>
    <w:rsid w:val="00205F7C"/>
    <w:rsid w:val="0021009B"/>
    <w:rsid w:val="00210D74"/>
    <w:rsid w:val="00212E75"/>
    <w:rsid w:val="00212EC8"/>
    <w:rsid w:val="002132C9"/>
    <w:rsid w:val="00214037"/>
    <w:rsid w:val="002146E0"/>
    <w:rsid w:val="002155A9"/>
    <w:rsid w:val="00215CC8"/>
    <w:rsid w:val="00216CBB"/>
    <w:rsid w:val="00216F67"/>
    <w:rsid w:val="002172E9"/>
    <w:rsid w:val="00223E29"/>
    <w:rsid w:val="00225EBB"/>
    <w:rsid w:val="0022602D"/>
    <w:rsid w:val="00227975"/>
    <w:rsid w:val="00227E25"/>
    <w:rsid w:val="002320D2"/>
    <w:rsid w:val="00232FE0"/>
    <w:rsid w:val="0023300A"/>
    <w:rsid w:val="0023337C"/>
    <w:rsid w:val="00234646"/>
    <w:rsid w:val="00240FA2"/>
    <w:rsid w:val="00241287"/>
    <w:rsid w:val="002468BF"/>
    <w:rsid w:val="00246A1E"/>
    <w:rsid w:val="00253A45"/>
    <w:rsid w:val="00253BA1"/>
    <w:rsid w:val="00253BD4"/>
    <w:rsid w:val="002551FE"/>
    <w:rsid w:val="0025696C"/>
    <w:rsid w:val="00257F6F"/>
    <w:rsid w:val="00260A64"/>
    <w:rsid w:val="00260D1E"/>
    <w:rsid w:val="00262BF6"/>
    <w:rsid w:val="00263CE9"/>
    <w:rsid w:val="0026421D"/>
    <w:rsid w:val="00264DFF"/>
    <w:rsid w:val="002653C6"/>
    <w:rsid w:val="002674DD"/>
    <w:rsid w:val="00267E51"/>
    <w:rsid w:val="00273974"/>
    <w:rsid w:val="0027510C"/>
    <w:rsid w:val="00276783"/>
    <w:rsid w:val="0028085E"/>
    <w:rsid w:val="00281433"/>
    <w:rsid w:val="0028227E"/>
    <w:rsid w:val="00282D4D"/>
    <w:rsid w:val="00282DD5"/>
    <w:rsid w:val="002838A1"/>
    <w:rsid w:val="00284A5F"/>
    <w:rsid w:val="0028689C"/>
    <w:rsid w:val="002914FF"/>
    <w:rsid w:val="00292791"/>
    <w:rsid w:val="0029304B"/>
    <w:rsid w:val="00295479"/>
    <w:rsid w:val="0029737E"/>
    <w:rsid w:val="002A0119"/>
    <w:rsid w:val="002A45D5"/>
    <w:rsid w:val="002A4D85"/>
    <w:rsid w:val="002A510D"/>
    <w:rsid w:val="002A5E41"/>
    <w:rsid w:val="002A62AE"/>
    <w:rsid w:val="002B0F2F"/>
    <w:rsid w:val="002B0FA2"/>
    <w:rsid w:val="002B5DA9"/>
    <w:rsid w:val="002B6FE3"/>
    <w:rsid w:val="002B77B0"/>
    <w:rsid w:val="002C07BF"/>
    <w:rsid w:val="002C303B"/>
    <w:rsid w:val="002C3631"/>
    <w:rsid w:val="002C4068"/>
    <w:rsid w:val="002C49D3"/>
    <w:rsid w:val="002C5755"/>
    <w:rsid w:val="002C6D94"/>
    <w:rsid w:val="002C7C11"/>
    <w:rsid w:val="002D1960"/>
    <w:rsid w:val="002D20E8"/>
    <w:rsid w:val="002D3246"/>
    <w:rsid w:val="002D41F7"/>
    <w:rsid w:val="002D4D99"/>
    <w:rsid w:val="002D6E44"/>
    <w:rsid w:val="002D71A3"/>
    <w:rsid w:val="002E0323"/>
    <w:rsid w:val="002E0A68"/>
    <w:rsid w:val="002E0E35"/>
    <w:rsid w:val="002E23EF"/>
    <w:rsid w:val="002E31DF"/>
    <w:rsid w:val="002E32D3"/>
    <w:rsid w:val="002E5268"/>
    <w:rsid w:val="002E5B19"/>
    <w:rsid w:val="002E7A2D"/>
    <w:rsid w:val="002E7C39"/>
    <w:rsid w:val="002F028F"/>
    <w:rsid w:val="002F02B5"/>
    <w:rsid w:val="002F0BF8"/>
    <w:rsid w:val="002F0FE9"/>
    <w:rsid w:val="002F1487"/>
    <w:rsid w:val="002F3D32"/>
    <w:rsid w:val="002F4065"/>
    <w:rsid w:val="002F6722"/>
    <w:rsid w:val="002F716F"/>
    <w:rsid w:val="002F7A76"/>
    <w:rsid w:val="00300CBF"/>
    <w:rsid w:val="00301680"/>
    <w:rsid w:val="00302C70"/>
    <w:rsid w:val="00303A49"/>
    <w:rsid w:val="00313EC2"/>
    <w:rsid w:val="00314036"/>
    <w:rsid w:val="0031580F"/>
    <w:rsid w:val="00316345"/>
    <w:rsid w:val="00320185"/>
    <w:rsid w:val="0032310F"/>
    <w:rsid w:val="00323F47"/>
    <w:rsid w:val="00325B3B"/>
    <w:rsid w:val="00326152"/>
    <w:rsid w:val="00330398"/>
    <w:rsid w:val="00331DF1"/>
    <w:rsid w:val="00340812"/>
    <w:rsid w:val="003415DC"/>
    <w:rsid w:val="00342997"/>
    <w:rsid w:val="00343188"/>
    <w:rsid w:val="00345202"/>
    <w:rsid w:val="00345FF5"/>
    <w:rsid w:val="00346887"/>
    <w:rsid w:val="00350673"/>
    <w:rsid w:val="00351FB7"/>
    <w:rsid w:val="003523DD"/>
    <w:rsid w:val="00353486"/>
    <w:rsid w:val="00356881"/>
    <w:rsid w:val="0036035F"/>
    <w:rsid w:val="00363E4C"/>
    <w:rsid w:val="0036484B"/>
    <w:rsid w:val="00365B84"/>
    <w:rsid w:val="00366277"/>
    <w:rsid w:val="003718D6"/>
    <w:rsid w:val="00371D6F"/>
    <w:rsid w:val="0037201C"/>
    <w:rsid w:val="0037634F"/>
    <w:rsid w:val="00380295"/>
    <w:rsid w:val="00380788"/>
    <w:rsid w:val="00381D79"/>
    <w:rsid w:val="0038297E"/>
    <w:rsid w:val="0038353D"/>
    <w:rsid w:val="00383956"/>
    <w:rsid w:val="00384B30"/>
    <w:rsid w:val="00385AF6"/>
    <w:rsid w:val="00385E64"/>
    <w:rsid w:val="003868D7"/>
    <w:rsid w:val="00390181"/>
    <w:rsid w:val="003929F7"/>
    <w:rsid w:val="0039404F"/>
    <w:rsid w:val="003A098A"/>
    <w:rsid w:val="003A5569"/>
    <w:rsid w:val="003A6704"/>
    <w:rsid w:val="003A6845"/>
    <w:rsid w:val="003A6BC6"/>
    <w:rsid w:val="003A7B14"/>
    <w:rsid w:val="003B087E"/>
    <w:rsid w:val="003B14DF"/>
    <w:rsid w:val="003B365A"/>
    <w:rsid w:val="003B3E53"/>
    <w:rsid w:val="003B41A2"/>
    <w:rsid w:val="003B52FD"/>
    <w:rsid w:val="003B7170"/>
    <w:rsid w:val="003B737F"/>
    <w:rsid w:val="003C1394"/>
    <w:rsid w:val="003C6118"/>
    <w:rsid w:val="003C6E99"/>
    <w:rsid w:val="003C715C"/>
    <w:rsid w:val="003D3750"/>
    <w:rsid w:val="003D4AF0"/>
    <w:rsid w:val="003D7EE1"/>
    <w:rsid w:val="003E1225"/>
    <w:rsid w:val="003E51FE"/>
    <w:rsid w:val="003E6166"/>
    <w:rsid w:val="003E6559"/>
    <w:rsid w:val="003E6EE5"/>
    <w:rsid w:val="003E7C5C"/>
    <w:rsid w:val="003F02A1"/>
    <w:rsid w:val="003F0409"/>
    <w:rsid w:val="003F044B"/>
    <w:rsid w:val="003F1139"/>
    <w:rsid w:val="003F32BE"/>
    <w:rsid w:val="003F37C4"/>
    <w:rsid w:val="003F3FA1"/>
    <w:rsid w:val="003F5F64"/>
    <w:rsid w:val="003F6F38"/>
    <w:rsid w:val="003F724A"/>
    <w:rsid w:val="00402D3A"/>
    <w:rsid w:val="00404D8E"/>
    <w:rsid w:val="00405B2B"/>
    <w:rsid w:val="0040609B"/>
    <w:rsid w:val="00406DB7"/>
    <w:rsid w:val="004074D0"/>
    <w:rsid w:val="0041070A"/>
    <w:rsid w:val="004116D9"/>
    <w:rsid w:val="004122AD"/>
    <w:rsid w:val="004136FA"/>
    <w:rsid w:val="0041385C"/>
    <w:rsid w:val="00414105"/>
    <w:rsid w:val="00415143"/>
    <w:rsid w:val="0041636F"/>
    <w:rsid w:val="00416A11"/>
    <w:rsid w:val="00420299"/>
    <w:rsid w:val="00422216"/>
    <w:rsid w:val="00423439"/>
    <w:rsid w:val="004235BF"/>
    <w:rsid w:val="00424C56"/>
    <w:rsid w:val="00425081"/>
    <w:rsid w:val="00426819"/>
    <w:rsid w:val="00427B73"/>
    <w:rsid w:val="00430ACB"/>
    <w:rsid w:val="004329BA"/>
    <w:rsid w:val="00440263"/>
    <w:rsid w:val="004435EF"/>
    <w:rsid w:val="00443676"/>
    <w:rsid w:val="00443987"/>
    <w:rsid w:val="004453E1"/>
    <w:rsid w:val="00445ABC"/>
    <w:rsid w:val="00445C3A"/>
    <w:rsid w:val="00446046"/>
    <w:rsid w:val="00452CDE"/>
    <w:rsid w:val="00453394"/>
    <w:rsid w:val="00455F06"/>
    <w:rsid w:val="00456387"/>
    <w:rsid w:val="00456880"/>
    <w:rsid w:val="00456B39"/>
    <w:rsid w:val="00456E83"/>
    <w:rsid w:val="00460FD6"/>
    <w:rsid w:val="00461081"/>
    <w:rsid w:val="00461C39"/>
    <w:rsid w:val="00464FC8"/>
    <w:rsid w:val="004659FA"/>
    <w:rsid w:val="0046640D"/>
    <w:rsid w:val="0046641E"/>
    <w:rsid w:val="00467F2F"/>
    <w:rsid w:val="0047030D"/>
    <w:rsid w:val="00470AF1"/>
    <w:rsid w:val="00470EA0"/>
    <w:rsid w:val="00470F69"/>
    <w:rsid w:val="00472137"/>
    <w:rsid w:val="00472D97"/>
    <w:rsid w:val="00474C47"/>
    <w:rsid w:val="00476596"/>
    <w:rsid w:val="00476A56"/>
    <w:rsid w:val="0048238D"/>
    <w:rsid w:val="00484333"/>
    <w:rsid w:val="00484EDE"/>
    <w:rsid w:val="00486C68"/>
    <w:rsid w:val="00486D1E"/>
    <w:rsid w:val="00493192"/>
    <w:rsid w:val="004949EA"/>
    <w:rsid w:val="004959A5"/>
    <w:rsid w:val="004A01EE"/>
    <w:rsid w:val="004A411E"/>
    <w:rsid w:val="004A5445"/>
    <w:rsid w:val="004A6084"/>
    <w:rsid w:val="004A75B5"/>
    <w:rsid w:val="004A78AD"/>
    <w:rsid w:val="004A7B34"/>
    <w:rsid w:val="004B0EAF"/>
    <w:rsid w:val="004B1F97"/>
    <w:rsid w:val="004B3B8B"/>
    <w:rsid w:val="004B5049"/>
    <w:rsid w:val="004B5109"/>
    <w:rsid w:val="004B566F"/>
    <w:rsid w:val="004B71DF"/>
    <w:rsid w:val="004B7E53"/>
    <w:rsid w:val="004C237B"/>
    <w:rsid w:val="004C28F3"/>
    <w:rsid w:val="004C2A5D"/>
    <w:rsid w:val="004C428E"/>
    <w:rsid w:val="004C51FC"/>
    <w:rsid w:val="004C5EA3"/>
    <w:rsid w:val="004C6237"/>
    <w:rsid w:val="004C7F23"/>
    <w:rsid w:val="004D0164"/>
    <w:rsid w:val="004D0402"/>
    <w:rsid w:val="004D1FD8"/>
    <w:rsid w:val="004D33F9"/>
    <w:rsid w:val="004D49C8"/>
    <w:rsid w:val="004D4A88"/>
    <w:rsid w:val="004D5BA7"/>
    <w:rsid w:val="004D5E99"/>
    <w:rsid w:val="004D7A7C"/>
    <w:rsid w:val="004D7D32"/>
    <w:rsid w:val="004E1DAA"/>
    <w:rsid w:val="004E3319"/>
    <w:rsid w:val="004E3930"/>
    <w:rsid w:val="004E43AC"/>
    <w:rsid w:val="004E6E74"/>
    <w:rsid w:val="004E7CC0"/>
    <w:rsid w:val="004F1804"/>
    <w:rsid w:val="004F5AA1"/>
    <w:rsid w:val="004F6032"/>
    <w:rsid w:val="00500113"/>
    <w:rsid w:val="00500E03"/>
    <w:rsid w:val="00504E00"/>
    <w:rsid w:val="005064D5"/>
    <w:rsid w:val="00506CCA"/>
    <w:rsid w:val="005115C0"/>
    <w:rsid w:val="005117BB"/>
    <w:rsid w:val="00521F7E"/>
    <w:rsid w:val="005252C4"/>
    <w:rsid w:val="00526905"/>
    <w:rsid w:val="00526AA0"/>
    <w:rsid w:val="0052770F"/>
    <w:rsid w:val="0053197F"/>
    <w:rsid w:val="0053229E"/>
    <w:rsid w:val="00533516"/>
    <w:rsid w:val="00535456"/>
    <w:rsid w:val="005366F4"/>
    <w:rsid w:val="00536F54"/>
    <w:rsid w:val="005371B1"/>
    <w:rsid w:val="005371F2"/>
    <w:rsid w:val="00540799"/>
    <w:rsid w:val="005407D0"/>
    <w:rsid w:val="00540BB6"/>
    <w:rsid w:val="0054138D"/>
    <w:rsid w:val="00544B57"/>
    <w:rsid w:val="00547EE4"/>
    <w:rsid w:val="005516DB"/>
    <w:rsid w:val="0055194B"/>
    <w:rsid w:val="0055446C"/>
    <w:rsid w:val="00556E41"/>
    <w:rsid w:val="00563A09"/>
    <w:rsid w:val="00563DBC"/>
    <w:rsid w:val="00565BD0"/>
    <w:rsid w:val="00567184"/>
    <w:rsid w:val="0057017A"/>
    <w:rsid w:val="00571856"/>
    <w:rsid w:val="005755E8"/>
    <w:rsid w:val="005768B9"/>
    <w:rsid w:val="00580399"/>
    <w:rsid w:val="005815D8"/>
    <w:rsid w:val="0058463D"/>
    <w:rsid w:val="0058533B"/>
    <w:rsid w:val="0059101C"/>
    <w:rsid w:val="005917B0"/>
    <w:rsid w:val="00592066"/>
    <w:rsid w:val="005924A4"/>
    <w:rsid w:val="0059316E"/>
    <w:rsid w:val="00595ABE"/>
    <w:rsid w:val="00596269"/>
    <w:rsid w:val="005962BF"/>
    <w:rsid w:val="00597C4F"/>
    <w:rsid w:val="00597F3C"/>
    <w:rsid w:val="005A15BE"/>
    <w:rsid w:val="005A339F"/>
    <w:rsid w:val="005A42D8"/>
    <w:rsid w:val="005A691F"/>
    <w:rsid w:val="005A700C"/>
    <w:rsid w:val="005B12CD"/>
    <w:rsid w:val="005B391A"/>
    <w:rsid w:val="005B5FCC"/>
    <w:rsid w:val="005C03FA"/>
    <w:rsid w:val="005C0A17"/>
    <w:rsid w:val="005C0C78"/>
    <w:rsid w:val="005C0F82"/>
    <w:rsid w:val="005C1651"/>
    <w:rsid w:val="005C22BE"/>
    <w:rsid w:val="005C405F"/>
    <w:rsid w:val="005C479D"/>
    <w:rsid w:val="005C4EE4"/>
    <w:rsid w:val="005C6C37"/>
    <w:rsid w:val="005D12E0"/>
    <w:rsid w:val="005D15EB"/>
    <w:rsid w:val="005D24E9"/>
    <w:rsid w:val="005D2947"/>
    <w:rsid w:val="005D2B1A"/>
    <w:rsid w:val="005D3336"/>
    <w:rsid w:val="005D35A9"/>
    <w:rsid w:val="005D4CC7"/>
    <w:rsid w:val="005E1C8B"/>
    <w:rsid w:val="005E2B27"/>
    <w:rsid w:val="005E3C38"/>
    <w:rsid w:val="005E6010"/>
    <w:rsid w:val="005F073A"/>
    <w:rsid w:val="005F395F"/>
    <w:rsid w:val="005F4120"/>
    <w:rsid w:val="005F59DC"/>
    <w:rsid w:val="005F69D0"/>
    <w:rsid w:val="0060097C"/>
    <w:rsid w:val="006021A5"/>
    <w:rsid w:val="00602B53"/>
    <w:rsid w:val="00605D0F"/>
    <w:rsid w:val="006061D9"/>
    <w:rsid w:val="0060682A"/>
    <w:rsid w:val="00606DCC"/>
    <w:rsid w:val="0061031E"/>
    <w:rsid w:val="0061292D"/>
    <w:rsid w:val="00612A53"/>
    <w:rsid w:val="00615362"/>
    <w:rsid w:val="00616D1B"/>
    <w:rsid w:val="0061745D"/>
    <w:rsid w:val="00621DDA"/>
    <w:rsid w:val="006222E7"/>
    <w:rsid w:val="00622435"/>
    <w:rsid w:val="00623E01"/>
    <w:rsid w:val="006259FF"/>
    <w:rsid w:val="00626502"/>
    <w:rsid w:val="006271C5"/>
    <w:rsid w:val="00627FD9"/>
    <w:rsid w:val="00630DD0"/>
    <w:rsid w:val="006310C7"/>
    <w:rsid w:val="00631346"/>
    <w:rsid w:val="0063159E"/>
    <w:rsid w:val="0063286A"/>
    <w:rsid w:val="00633612"/>
    <w:rsid w:val="0063430C"/>
    <w:rsid w:val="00635039"/>
    <w:rsid w:val="00635AC1"/>
    <w:rsid w:val="006371FC"/>
    <w:rsid w:val="00640D37"/>
    <w:rsid w:val="00640E96"/>
    <w:rsid w:val="00642226"/>
    <w:rsid w:val="00642A78"/>
    <w:rsid w:val="00644012"/>
    <w:rsid w:val="00645406"/>
    <w:rsid w:val="00645944"/>
    <w:rsid w:val="00645A92"/>
    <w:rsid w:val="00645D14"/>
    <w:rsid w:val="00646CD5"/>
    <w:rsid w:val="006512A1"/>
    <w:rsid w:val="00651B50"/>
    <w:rsid w:val="00652EBA"/>
    <w:rsid w:val="0065501A"/>
    <w:rsid w:val="00661C3F"/>
    <w:rsid w:val="00662C33"/>
    <w:rsid w:val="00663CB8"/>
    <w:rsid w:val="0066492A"/>
    <w:rsid w:val="0066732C"/>
    <w:rsid w:val="006701AB"/>
    <w:rsid w:val="0067191C"/>
    <w:rsid w:val="006723E4"/>
    <w:rsid w:val="00672A37"/>
    <w:rsid w:val="006737E1"/>
    <w:rsid w:val="006753FD"/>
    <w:rsid w:val="00677FD0"/>
    <w:rsid w:val="00680C75"/>
    <w:rsid w:val="00683669"/>
    <w:rsid w:val="00683A8E"/>
    <w:rsid w:val="00684DC5"/>
    <w:rsid w:val="006877BE"/>
    <w:rsid w:val="0069189B"/>
    <w:rsid w:val="00691F2C"/>
    <w:rsid w:val="006921BB"/>
    <w:rsid w:val="00692BF5"/>
    <w:rsid w:val="00693052"/>
    <w:rsid w:val="006A25B3"/>
    <w:rsid w:val="006A349B"/>
    <w:rsid w:val="006A3991"/>
    <w:rsid w:val="006A4517"/>
    <w:rsid w:val="006A4FF2"/>
    <w:rsid w:val="006A5988"/>
    <w:rsid w:val="006A5C87"/>
    <w:rsid w:val="006A5DAD"/>
    <w:rsid w:val="006A5DC9"/>
    <w:rsid w:val="006A699C"/>
    <w:rsid w:val="006A6CDB"/>
    <w:rsid w:val="006B0D17"/>
    <w:rsid w:val="006B10AA"/>
    <w:rsid w:val="006B1150"/>
    <w:rsid w:val="006B3914"/>
    <w:rsid w:val="006B3931"/>
    <w:rsid w:val="006B41F2"/>
    <w:rsid w:val="006B6FAB"/>
    <w:rsid w:val="006B7144"/>
    <w:rsid w:val="006C1190"/>
    <w:rsid w:val="006C55DD"/>
    <w:rsid w:val="006D1066"/>
    <w:rsid w:val="006D1DD5"/>
    <w:rsid w:val="006D2630"/>
    <w:rsid w:val="006D31A2"/>
    <w:rsid w:val="006D4DD3"/>
    <w:rsid w:val="006D68A4"/>
    <w:rsid w:val="006E05C6"/>
    <w:rsid w:val="006E0824"/>
    <w:rsid w:val="006E1FE4"/>
    <w:rsid w:val="006E23CF"/>
    <w:rsid w:val="006E7C69"/>
    <w:rsid w:val="006F0E3B"/>
    <w:rsid w:val="006F0F48"/>
    <w:rsid w:val="006F10D9"/>
    <w:rsid w:val="006F27A4"/>
    <w:rsid w:val="006F3883"/>
    <w:rsid w:val="006F4BE4"/>
    <w:rsid w:val="006F4E22"/>
    <w:rsid w:val="006F6B41"/>
    <w:rsid w:val="006F774E"/>
    <w:rsid w:val="006F790E"/>
    <w:rsid w:val="006F7AB2"/>
    <w:rsid w:val="00700939"/>
    <w:rsid w:val="00701630"/>
    <w:rsid w:val="00702F10"/>
    <w:rsid w:val="007030C3"/>
    <w:rsid w:val="00705398"/>
    <w:rsid w:val="00706A5A"/>
    <w:rsid w:val="00707ABB"/>
    <w:rsid w:val="00710254"/>
    <w:rsid w:val="0071113E"/>
    <w:rsid w:val="00713757"/>
    <w:rsid w:val="007162E8"/>
    <w:rsid w:val="00720427"/>
    <w:rsid w:val="00720A91"/>
    <w:rsid w:val="00721AA1"/>
    <w:rsid w:val="0072304F"/>
    <w:rsid w:val="00726BE8"/>
    <w:rsid w:val="00730D46"/>
    <w:rsid w:val="0073186C"/>
    <w:rsid w:val="00734302"/>
    <w:rsid w:val="00734440"/>
    <w:rsid w:val="00736832"/>
    <w:rsid w:val="00737803"/>
    <w:rsid w:val="00737AFB"/>
    <w:rsid w:val="00741F15"/>
    <w:rsid w:val="00741F5F"/>
    <w:rsid w:val="007425E3"/>
    <w:rsid w:val="007429CC"/>
    <w:rsid w:val="0074310A"/>
    <w:rsid w:val="00743859"/>
    <w:rsid w:val="00745C71"/>
    <w:rsid w:val="007460D1"/>
    <w:rsid w:val="00746E75"/>
    <w:rsid w:val="0074721F"/>
    <w:rsid w:val="00747C65"/>
    <w:rsid w:val="007500F0"/>
    <w:rsid w:val="00750FB4"/>
    <w:rsid w:val="00751D95"/>
    <w:rsid w:val="00755521"/>
    <w:rsid w:val="007558CE"/>
    <w:rsid w:val="00755A85"/>
    <w:rsid w:val="00756BF2"/>
    <w:rsid w:val="00756C2E"/>
    <w:rsid w:val="0075749B"/>
    <w:rsid w:val="00760511"/>
    <w:rsid w:val="00761B24"/>
    <w:rsid w:val="00763173"/>
    <w:rsid w:val="007649F1"/>
    <w:rsid w:val="00765CD4"/>
    <w:rsid w:val="00766770"/>
    <w:rsid w:val="00767542"/>
    <w:rsid w:val="00772058"/>
    <w:rsid w:val="00772672"/>
    <w:rsid w:val="00774F24"/>
    <w:rsid w:val="00775873"/>
    <w:rsid w:val="0078112C"/>
    <w:rsid w:val="0078120A"/>
    <w:rsid w:val="00781B7B"/>
    <w:rsid w:val="00784CD0"/>
    <w:rsid w:val="007853EA"/>
    <w:rsid w:val="00786A28"/>
    <w:rsid w:val="0078707D"/>
    <w:rsid w:val="00787E0A"/>
    <w:rsid w:val="007919E0"/>
    <w:rsid w:val="0079339F"/>
    <w:rsid w:val="00795EB5"/>
    <w:rsid w:val="0079675B"/>
    <w:rsid w:val="00796E98"/>
    <w:rsid w:val="007A2A84"/>
    <w:rsid w:val="007A5DE5"/>
    <w:rsid w:val="007A73F5"/>
    <w:rsid w:val="007A7454"/>
    <w:rsid w:val="007B1622"/>
    <w:rsid w:val="007B5241"/>
    <w:rsid w:val="007C1AC9"/>
    <w:rsid w:val="007C2699"/>
    <w:rsid w:val="007C2B1B"/>
    <w:rsid w:val="007C2E64"/>
    <w:rsid w:val="007C2EB3"/>
    <w:rsid w:val="007C3D85"/>
    <w:rsid w:val="007C7403"/>
    <w:rsid w:val="007D1B30"/>
    <w:rsid w:val="007D64CF"/>
    <w:rsid w:val="007D6CB4"/>
    <w:rsid w:val="007D7174"/>
    <w:rsid w:val="007E00D9"/>
    <w:rsid w:val="007E260D"/>
    <w:rsid w:val="007E3D9C"/>
    <w:rsid w:val="007E5EFB"/>
    <w:rsid w:val="007E65EF"/>
    <w:rsid w:val="007E6B3B"/>
    <w:rsid w:val="007F0614"/>
    <w:rsid w:val="007F099E"/>
    <w:rsid w:val="007F18CB"/>
    <w:rsid w:val="007F5809"/>
    <w:rsid w:val="007F6BFA"/>
    <w:rsid w:val="00800A61"/>
    <w:rsid w:val="00800E09"/>
    <w:rsid w:val="00800E79"/>
    <w:rsid w:val="00801096"/>
    <w:rsid w:val="008030E5"/>
    <w:rsid w:val="00804613"/>
    <w:rsid w:val="00805361"/>
    <w:rsid w:val="00806135"/>
    <w:rsid w:val="00807646"/>
    <w:rsid w:val="00807A5C"/>
    <w:rsid w:val="00807BB2"/>
    <w:rsid w:val="00810CBB"/>
    <w:rsid w:val="0081172B"/>
    <w:rsid w:val="008121BB"/>
    <w:rsid w:val="00812946"/>
    <w:rsid w:val="00813BBB"/>
    <w:rsid w:val="008157BC"/>
    <w:rsid w:val="0081637F"/>
    <w:rsid w:val="0082152A"/>
    <w:rsid w:val="00822E86"/>
    <w:rsid w:val="00823279"/>
    <w:rsid w:val="0082497F"/>
    <w:rsid w:val="008252F3"/>
    <w:rsid w:val="00825536"/>
    <w:rsid w:val="00825CF6"/>
    <w:rsid w:val="00827269"/>
    <w:rsid w:val="00827DF5"/>
    <w:rsid w:val="0083081C"/>
    <w:rsid w:val="00831E40"/>
    <w:rsid w:val="00832048"/>
    <w:rsid w:val="00833058"/>
    <w:rsid w:val="008337FB"/>
    <w:rsid w:val="00834520"/>
    <w:rsid w:val="008349E0"/>
    <w:rsid w:val="00834D93"/>
    <w:rsid w:val="008350A7"/>
    <w:rsid w:val="00835440"/>
    <w:rsid w:val="0083687B"/>
    <w:rsid w:val="008376A9"/>
    <w:rsid w:val="0084064E"/>
    <w:rsid w:val="00841183"/>
    <w:rsid w:val="008415FD"/>
    <w:rsid w:val="00841E8C"/>
    <w:rsid w:val="00842405"/>
    <w:rsid w:val="00842470"/>
    <w:rsid w:val="00845D1F"/>
    <w:rsid w:val="00846651"/>
    <w:rsid w:val="00846B9D"/>
    <w:rsid w:val="00847813"/>
    <w:rsid w:val="00850204"/>
    <w:rsid w:val="0085145E"/>
    <w:rsid w:val="00851657"/>
    <w:rsid w:val="008554D6"/>
    <w:rsid w:val="00855545"/>
    <w:rsid w:val="00855A1C"/>
    <w:rsid w:val="00855DD4"/>
    <w:rsid w:val="00856793"/>
    <w:rsid w:val="00856C25"/>
    <w:rsid w:val="00857054"/>
    <w:rsid w:val="008572E7"/>
    <w:rsid w:val="008578B8"/>
    <w:rsid w:val="00860414"/>
    <w:rsid w:val="008610BB"/>
    <w:rsid w:val="008614C4"/>
    <w:rsid w:val="00862B53"/>
    <w:rsid w:val="0086319C"/>
    <w:rsid w:val="00864015"/>
    <w:rsid w:val="0086504D"/>
    <w:rsid w:val="00865104"/>
    <w:rsid w:val="00865522"/>
    <w:rsid w:val="00866F59"/>
    <w:rsid w:val="00867480"/>
    <w:rsid w:val="0087034D"/>
    <w:rsid w:val="008715D4"/>
    <w:rsid w:val="00873987"/>
    <w:rsid w:val="00875842"/>
    <w:rsid w:val="00875AC6"/>
    <w:rsid w:val="00876813"/>
    <w:rsid w:val="00876CB4"/>
    <w:rsid w:val="0087704A"/>
    <w:rsid w:val="00881A6B"/>
    <w:rsid w:val="008832C2"/>
    <w:rsid w:val="00884110"/>
    <w:rsid w:val="0088416F"/>
    <w:rsid w:val="00885B43"/>
    <w:rsid w:val="00885FC4"/>
    <w:rsid w:val="00886AF9"/>
    <w:rsid w:val="00887642"/>
    <w:rsid w:val="008879B2"/>
    <w:rsid w:val="00890CFC"/>
    <w:rsid w:val="00890F91"/>
    <w:rsid w:val="00893D6D"/>
    <w:rsid w:val="008961DF"/>
    <w:rsid w:val="008A07D7"/>
    <w:rsid w:val="008A3481"/>
    <w:rsid w:val="008A5160"/>
    <w:rsid w:val="008A6A6B"/>
    <w:rsid w:val="008A7CE9"/>
    <w:rsid w:val="008B18DE"/>
    <w:rsid w:val="008B309E"/>
    <w:rsid w:val="008B31D3"/>
    <w:rsid w:val="008B343C"/>
    <w:rsid w:val="008B5266"/>
    <w:rsid w:val="008B53C3"/>
    <w:rsid w:val="008B5BBE"/>
    <w:rsid w:val="008B699C"/>
    <w:rsid w:val="008B6D58"/>
    <w:rsid w:val="008B75CD"/>
    <w:rsid w:val="008B7831"/>
    <w:rsid w:val="008C1840"/>
    <w:rsid w:val="008C2D79"/>
    <w:rsid w:val="008C3016"/>
    <w:rsid w:val="008C63E6"/>
    <w:rsid w:val="008C72D1"/>
    <w:rsid w:val="008C7FE8"/>
    <w:rsid w:val="008D2253"/>
    <w:rsid w:val="008D3261"/>
    <w:rsid w:val="008D3EEB"/>
    <w:rsid w:val="008D5BE7"/>
    <w:rsid w:val="008D614D"/>
    <w:rsid w:val="008D7A29"/>
    <w:rsid w:val="008D7CF9"/>
    <w:rsid w:val="008E0DB8"/>
    <w:rsid w:val="008E10FC"/>
    <w:rsid w:val="008E3C61"/>
    <w:rsid w:val="008E4812"/>
    <w:rsid w:val="008E7466"/>
    <w:rsid w:val="008F00AB"/>
    <w:rsid w:val="008F0BE0"/>
    <w:rsid w:val="008F102B"/>
    <w:rsid w:val="008F1044"/>
    <w:rsid w:val="008F1E08"/>
    <w:rsid w:val="008F39C3"/>
    <w:rsid w:val="008F5C52"/>
    <w:rsid w:val="009001D1"/>
    <w:rsid w:val="0090106A"/>
    <w:rsid w:val="00902721"/>
    <w:rsid w:val="00903E3F"/>
    <w:rsid w:val="00903F5F"/>
    <w:rsid w:val="00905255"/>
    <w:rsid w:val="00905B0F"/>
    <w:rsid w:val="00906E8E"/>
    <w:rsid w:val="009071F0"/>
    <w:rsid w:val="009074DD"/>
    <w:rsid w:val="00907F31"/>
    <w:rsid w:val="00913519"/>
    <w:rsid w:val="0091368C"/>
    <w:rsid w:val="0091527D"/>
    <w:rsid w:val="00916418"/>
    <w:rsid w:val="00917467"/>
    <w:rsid w:val="00917550"/>
    <w:rsid w:val="00917715"/>
    <w:rsid w:val="00920EEF"/>
    <w:rsid w:val="009211E2"/>
    <w:rsid w:val="00921C02"/>
    <w:rsid w:val="00921DAE"/>
    <w:rsid w:val="00926893"/>
    <w:rsid w:val="00927C48"/>
    <w:rsid w:val="00930546"/>
    <w:rsid w:val="00932566"/>
    <w:rsid w:val="00934A1D"/>
    <w:rsid w:val="0093573A"/>
    <w:rsid w:val="00935AE8"/>
    <w:rsid w:val="00936EFE"/>
    <w:rsid w:val="009401F7"/>
    <w:rsid w:val="00940709"/>
    <w:rsid w:val="00941ACF"/>
    <w:rsid w:val="00942416"/>
    <w:rsid w:val="009440A0"/>
    <w:rsid w:val="00944842"/>
    <w:rsid w:val="00945ED9"/>
    <w:rsid w:val="00945F49"/>
    <w:rsid w:val="00951FC8"/>
    <w:rsid w:val="00953660"/>
    <w:rsid w:val="00954B02"/>
    <w:rsid w:val="00957B37"/>
    <w:rsid w:val="0096186A"/>
    <w:rsid w:val="00961CDF"/>
    <w:rsid w:val="009620FF"/>
    <w:rsid w:val="00963324"/>
    <w:rsid w:val="009664DB"/>
    <w:rsid w:val="0097089D"/>
    <w:rsid w:val="00971008"/>
    <w:rsid w:val="00972220"/>
    <w:rsid w:val="00974D30"/>
    <w:rsid w:val="00975127"/>
    <w:rsid w:val="009772C8"/>
    <w:rsid w:val="00977EB1"/>
    <w:rsid w:val="00982AF8"/>
    <w:rsid w:val="00982EB9"/>
    <w:rsid w:val="00984509"/>
    <w:rsid w:val="00992BF4"/>
    <w:rsid w:val="0099332A"/>
    <w:rsid w:val="00995EA2"/>
    <w:rsid w:val="009965A3"/>
    <w:rsid w:val="00997281"/>
    <w:rsid w:val="00997895"/>
    <w:rsid w:val="00997DE6"/>
    <w:rsid w:val="009A3A71"/>
    <w:rsid w:val="009A3CD1"/>
    <w:rsid w:val="009A4CB0"/>
    <w:rsid w:val="009A5019"/>
    <w:rsid w:val="009A5A85"/>
    <w:rsid w:val="009A6B0D"/>
    <w:rsid w:val="009A6BF6"/>
    <w:rsid w:val="009B2AC0"/>
    <w:rsid w:val="009B2FFB"/>
    <w:rsid w:val="009B5160"/>
    <w:rsid w:val="009B709C"/>
    <w:rsid w:val="009B76BA"/>
    <w:rsid w:val="009C4524"/>
    <w:rsid w:val="009C4CBE"/>
    <w:rsid w:val="009C6320"/>
    <w:rsid w:val="009C65A1"/>
    <w:rsid w:val="009C7ECC"/>
    <w:rsid w:val="009D0ABB"/>
    <w:rsid w:val="009D28D3"/>
    <w:rsid w:val="009D301F"/>
    <w:rsid w:val="009D322A"/>
    <w:rsid w:val="009D5C32"/>
    <w:rsid w:val="009D742C"/>
    <w:rsid w:val="009E097A"/>
    <w:rsid w:val="009E15F2"/>
    <w:rsid w:val="009E30C6"/>
    <w:rsid w:val="009E4151"/>
    <w:rsid w:val="009E668B"/>
    <w:rsid w:val="009E7DDD"/>
    <w:rsid w:val="009F299D"/>
    <w:rsid w:val="009F49C0"/>
    <w:rsid w:val="009F56E2"/>
    <w:rsid w:val="009F61B5"/>
    <w:rsid w:val="009F7F38"/>
    <w:rsid w:val="00A00D44"/>
    <w:rsid w:val="00A014D5"/>
    <w:rsid w:val="00A04FC7"/>
    <w:rsid w:val="00A05A68"/>
    <w:rsid w:val="00A067C3"/>
    <w:rsid w:val="00A07258"/>
    <w:rsid w:val="00A0754E"/>
    <w:rsid w:val="00A07F2E"/>
    <w:rsid w:val="00A137FD"/>
    <w:rsid w:val="00A13DC8"/>
    <w:rsid w:val="00A14FF8"/>
    <w:rsid w:val="00A15B6D"/>
    <w:rsid w:val="00A15F5B"/>
    <w:rsid w:val="00A20F5A"/>
    <w:rsid w:val="00A220EF"/>
    <w:rsid w:val="00A235A2"/>
    <w:rsid w:val="00A23AAC"/>
    <w:rsid w:val="00A241A4"/>
    <w:rsid w:val="00A25844"/>
    <w:rsid w:val="00A26C4E"/>
    <w:rsid w:val="00A30504"/>
    <w:rsid w:val="00A3073D"/>
    <w:rsid w:val="00A31724"/>
    <w:rsid w:val="00A327C1"/>
    <w:rsid w:val="00A32D5C"/>
    <w:rsid w:val="00A33B11"/>
    <w:rsid w:val="00A34217"/>
    <w:rsid w:val="00A3536C"/>
    <w:rsid w:val="00A35C49"/>
    <w:rsid w:val="00A377EC"/>
    <w:rsid w:val="00A40515"/>
    <w:rsid w:val="00A42185"/>
    <w:rsid w:val="00A436BF"/>
    <w:rsid w:val="00A46E99"/>
    <w:rsid w:val="00A4709E"/>
    <w:rsid w:val="00A500AA"/>
    <w:rsid w:val="00A50880"/>
    <w:rsid w:val="00A5274F"/>
    <w:rsid w:val="00A52F17"/>
    <w:rsid w:val="00A5345B"/>
    <w:rsid w:val="00A540DD"/>
    <w:rsid w:val="00A5415C"/>
    <w:rsid w:val="00A551C2"/>
    <w:rsid w:val="00A55703"/>
    <w:rsid w:val="00A55E9C"/>
    <w:rsid w:val="00A5728F"/>
    <w:rsid w:val="00A61F8A"/>
    <w:rsid w:val="00A6296B"/>
    <w:rsid w:val="00A646D2"/>
    <w:rsid w:val="00A64AD8"/>
    <w:rsid w:val="00A70CE1"/>
    <w:rsid w:val="00A71051"/>
    <w:rsid w:val="00A728CE"/>
    <w:rsid w:val="00A731B6"/>
    <w:rsid w:val="00A734D4"/>
    <w:rsid w:val="00A74654"/>
    <w:rsid w:val="00A7517F"/>
    <w:rsid w:val="00A75493"/>
    <w:rsid w:val="00A766E4"/>
    <w:rsid w:val="00A77C35"/>
    <w:rsid w:val="00A80F5D"/>
    <w:rsid w:val="00A822CB"/>
    <w:rsid w:val="00A8347F"/>
    <w:rsid w:val="00A83751"/>
    <w:rsid w:val="00A848D8"/>
    <w:rsid w:val="00A8616B"/>
    <w:rsid w:val="00A87FEF"/>
    <w:rsid w:val="00A9170E"/>
    <w:rsid w:val="00A91938"/>
    <w:rsid w:val="00A91DB5"/>
    <w:rsid w:val="00A92D85"/>
    <w:rsid w:val="00A94FE8"/>
    <w:rsid w:val="00A95147"/>
    <w:rsid w:val="00A95188"/>
    <w:rsid w:val="00A967BF"/>
    <w:rsid w:val="00A968F6"/>
    <w:rsid w:val="00AA1547"/>
    <w:rsid w:val="00AA2E35"/>
    <w:rsid w:val="00AA2F98"/>
    <w:rsid w:val="00AA71C8"/>
    <w:rsid w:val="00AB0600"/>
    <w:rsid w:val="00AB1306"/>
    <w:rsid w:val="00AB1BD6"/>
    <w:rsid w:val="00AB210D"/>
    <w:rsid w:val="00AB3E3B"/>
    <w:rsid w:val="00AC009B"/>
    <w:rsid w:val="00AC1A30"/>
    <w:rsid w:val="00AC210E"/>
    <w:rsid w:val="00AC3968"/>
    <w:rsid w:val="00AC5DD1"/>
    <w:rsid w:val="00AC65B4"/>
    <w:rsid w:val="00AC688B"/>
    <w:rsid w:val="00AC6F41"/>
    <w:rsid w:val="00AD2380"/>
    <w:rsid w:val="00AD26D2"/>
    <w:rsid w:val="00AD5B62"/>
    <w:rsid w:val="00AD6280"/>
    <w:rsid w:val="00AE1653"/>
    <w:rsid w:val="00AE1AFA"/>
    <w:rsid w:val="00AE3FC8"/>
    <w:rsid w:val="00AE44F8"/>
    <w:rsid w:val="00AE481C"/>
    <w:rsid w:val="00AE69C3"/>
    <w:rsid w:val="00AE7285"/>
    <w:rsid w:val="00AF215C"/>
    <w:rsid w:val="00AF2F80"/>
    <w:rsid w:val="00AF3189"/>
    <w:rsid w:val="00AF3430"/>
    <w:rsid w:val="00AF3AF4"/>
    <w:rsid w:val="00AF5785"/>
    <w:rsid w:val="00B01664"/>
    <w:rsid w:val="00B01951"/>
    <w:rsid w:val="00B0241E"/>
    <w:rsid w:val="00B024DC"/>
    <w:rsid w:val="00B06375"/>
    <w:rsid w:val="00B07F55"/>
    <w:rsid w:val="00B1177F"/>
    <w:rsid w:val="00B166AF"/>
    <w:rsid w:val="00B21A8A"/>
    <w:rsid w:val="00B21D90"/>
    <w:rsid w:val="00B2276C"/>
    <w:rsid w:val="00B234FE"/>
    <w:rsid w:val="00B23768"/>
    <w:rsid w:val="00B23B75"/>
    <w:rsid w:val="00B247CC"/>
    <w:rsid w:val="00B24EC2"/>
    <w:rsid w:val="00B25FFA"/>
    <w:rsid w:val="00B302FC"/>
    <w:rsid w:val="00B332FC"/>
    <w:rsid w:val="00B3476A"/>
    <w:rsid w:val="00B3491D"/>
    <w:rsid w:val="00B355E8"/>
    <w:rsid w:val="00B35AFA"/>
    <w:rsid w:val="00B35C65"/>
    <w:rsid w:val="00B35C91"/>
    <w:rsid w:val="00B36BBA"/>
    <w:rsid w:val="00B36EE5"/>
    <w:rsid w:val="00B3732C"/>
    <w:rsid w:val="00B40D2E"/>
    <w:rsid w:val="00B4307B"/>
    <w:rsid w:val="00B45B69"/>
    <w:rsid w:val="00B47B2A"/>
    <w:rsid w:val="00B47CAC"/>
    <w:rsid w:val="00B51EF3"/>
    <w:rsid w:val="00B54819"/>
    <w:rsid w:val="00B56BAF"/>
    <w:rsid w:val="00B607A7"/>
    <w:rsid w:val="00B60F81"/>
    <w:rsid w:val="00B620BB"/>
    <w:rsid w:val="00B6259C"/>
    <w:rsid w:val="00B6385F"/>
    <w:rsid w:val="00B64338"/>
    <w:rsid w:val="00B65E50"/>
    <w:rsid w:val="00B66467"/>
    <w:rsid w:val="00B6721B"/>
    <w:rsid w:val="00B672B7"/>
    <w:rsid w:val="00B70DAB"/>
    <w:rsid w:val="00B718A9"/>
    <w:rsid w:val="00B71C03"/>
    <w:rsid w:val="00B72986"/>
    <w:rsid w:val="00B72B01"/>
    <w:rsid w:val="00B74631"/>
    <w:rsid w:val="00B764C4"/>
    <w:rsid w:val="00B76BB3"/>
    <w:rsid w:val="00B777CD"/>
    <w:rsid w:val="00B826C8"/>
    <w:rsid w:val="00B82C14"/>
    <w:rsid w:val="00B83706"/>
    <w:rsid w:val="00B83AAD"/>
    <w:rsid w:val="00B84BD0"/>
    <w:rsid w:val="00B85077"/>
    <w:rsid w:val="00B8585E"/>
    <w:rsid w:val="00B85EDC"/>
    <w:rsid w:val="00B86850"/>
    <w:rsid w:val="00B87168"/>
    <w:rsid w:val="00B908B1"/>
    <w:rsid w:val="00B90B79"/>
    <w:rsid w:val="00B90C75"/>
    <w:rsid w:val="00B91201"/>
    <w:rsid w:val="00B91531"/>
    <w:rsid w:val="00B9210F"/>
    <w:rsid w:val="00B923B8"/>
    <w:rsid w:val="00B9284F"/>
    <w:rsid w:val="00B92C7D"/>
    <w:rsid w:val="00B9407A"/>
    <w:rsid w:val="00B942BB"/>
    <w:rsid w:val="00B94FDA"/>
    <w:rsid w:val="00B95E10"/>
    <w:rsid w:val="00B96369"/>
    <w:rsid w:val="00B96551"/>
    <w:rsid w:val="00BA0D5E"/>
    <w:rsid w:val="00BA0FEA"/>
    <w:rsid w:val="00BA1072"/>
    <w:rsid w:val="00BA1DA0"/>
    <w:rsid w:val="00BA2E57"/>
    <w:rsid w:val="00BA37AD"/>
    <w:rsid w:val="00BA4116"/>
    <w:rsid w:val="00BA5975"/>
    <w:rsid w:val="00BA600A"/>
    <w:rsid w:val="00BA7316"/>
    <w:rsid w:val="00BA7428"/>
    <w:rsid w:val="00BB00F3"/>
    <w:rsid w:val="00BB166C"/>
    <w:rsid w:val="00BB193F"/>
    <w:rsid w:val="00BB1BC5"/>
    <w:rsid w:val="00BB4D44"/>
    <w:rsid w:val="00BB5F16"/>
    <w:rsid w:val="00BB79D0"/>
    <w:rsid w:val="00BC1CD8"/>
    <w:rsid w:val="00BC2219"/>
    <w:rsid w:val="00BC6932"/>
    <w:rsid w:val="00BC70C6"/>
    <w:rsid w:val="00BC7767"/>
    <w:rsid w:val="00BD0F7D"/>
    <w:rsid w:val="00BD2237"/>
    <w:rsid w:val="00BD3A6D"/>
    <w:rsid w:val="00BD4BBD"/>
    <w:rsid w:val="00BD58AD"/>
    <w:rsid w:val="00BD5BE4"/>
    <w:rsid w:val="00BD6042"/>
    <w:rsid w:val="00BD6D6D"/>
    <w:rsid w:val="00BD7E83"/>
    <w:rsid w:val="00BE069D"/>
    <w:rsid w:val="00BE1965"/>
    <w:rsid w:val="00BE1AA9"/>
    <w:rsid w:val="00BE2651"/>
    <w:rsid w:val="00BE3897"/>
    <w:rsid w:val="00BE3A5D"/>
    <w:rsid w:val="00BE48FA"/>
    <w:rsid w:val="00BE4C91"/>
    <w:rsid w:val="00BE57FB"/>
    <w:rsid w:val="00BF011A"/>
    <w:rsid w:val="00BF151A"/>
    <w:rsid w:val="00BF17EB"/>
    <w:rsid w:val="00BF2D67"/>
    <w:rsid w:val="00BF481B"/>
    <w:rsid w:val="00BF589A"/>
    <w:rsid w:val="00BF6FCD"/>
    <w:rsid w:val="00BF7381"/>
    <w:rsid w:val="00BF7843"/>
    <w:rsid w:val="00C00481"/>
    <w:rsid w:val="00C00E64"/>
    <w:rsid w:val="00C01741"/>
    <w:rsid w:val="00C01F52"/>
    <w:rsid w:val="00C02F95"/>
    <w:rsid w:val="00C03FA5"/>
    <w:rsid w:val="00C05A96"/>
    <w:rsid w:val="00C0649D"/>
    <w:rsid w:val="00C06CA7"/>
    <w:rsid w:val="00C07824"/>
    <w:rsid w:val="00C100C3"/>
    <w:rsid w:val="00C10A44"/>
    <w:rsid w:val="00C1259F"/>
    <w:rsid w:val="00C12F72"/>
    <w:rsid w:val="00C13180"/>
    <w:rsid w:val="00C14220"/>
    <w:rsid w:val="00C14519"/>
    <w:rsid w:val="00C164C8"/>
    <w:rsid w:val="00C1702B"/>
    <w:rsid w:val="00C2199B"/>
    <w:rsid w:val="00C22762"/>
    <w:rsid w:val="00C22BFE"/>
    <w:rsid w:val="00C2468D"/>
    <w:rsid w:val="00C256BE"/>
    <w:rsid w:val="00C26467"/>
    <w:rsid w:val="00C315A3"/>
    <w:rsid w:val="00C32A96"/>
    <w:rsid w:val="00C32D1B"/>
    <w:rsid w:val="00C33D0B"/>
    <w:rsid w:val="00C41A40"/>
    <w:rsid w:val="00C42BAE"/>
    <w:rsid w:val="00C43D7F"/>
    <w:rsid w:val="00C4411A"/>
    <w:rsid w:val="00C4535E"/>
    <w:rsid w:val="00C4568E"/>
    <w:rsid w:val="00C45CD4"/>
    <w:rsid w:val="00C47C37"/>
    <w:rsid w:val="00C526E1"/>
    <w:rsid w:val="00C527E1"/>
    <w:rsid w:val="00C52F47"/>
    <w:rsid w:val="00C55BBA"/>
    <w:rsid w:val="00C55CB2"/>
    <w:rsid w:val="00C57FCD"/>
    <w:rsid w:val="00C61B3B"/>
    <w:rsid w:val="00C6375B"/>
    <w:rsid w:val="00C64146"/>
    <w:rsid w:val="00C64EFB"/>
    <w:rsid w:val="00C66444"/>
    <w:rsid w:val="00C67DDC"/>
    <w:rsid w:val="00C709A8"/>
    <w:rsid w:val="00C7171F"/>
    <w:rsid w:val="00C71FE6"/>
    <w:rsid w:val="00C72453"/>
    <w:rsid w:val="00C72550"/>
    <w:rsid w:val="00C74C92"/>
    <w:rsid w:val="00C75A31"/>
    <w:rsid w:val="00C765A7"/>
    <w:rsid w:val="00C766BB"/>
    <w:rsid w:val="00C775F1"/>
    <w:rsid w:val="00C80CE1"/>
    <w:rsid w:val="00C82C79"/>
    <w:rsid w:val="00C82E52"/>
    <w:rsid w:val="00C8493B"/>
    <w:rsid w:val="00C84DFF"/>
    <w:rsid w:val="00C84F8D"/>
    <w:rsid w:val="00C86BEF"/>
    <w:rsid w:val="00C8714B"/>
    <w:rsid w:val="00C8741C"/>
    <w:rsid w:val="00C874B6"/>
    <w:rsid w:val="00C90053"/>
    <w:rsid w:val="00C91A9E"/>
    <w:rsid w:val="00C91F39"/>
    <w:rsid w:val="00C932B3"/>
    <w:rsid w:val="00C93562"/>
    <w:rsid w:val="00C93B80"/>
    <w:rsid w:val="00C94509"/>
    <w:rsid w:val="00C97486"/>
    <w:rsid w:val="00C975FF"/>
    <w:rsid w:val="00CA1EDC"/>
    <w:rsid w:val="00CA3A10"/>
    <w:rsid w:val="00CA7ADF"/>
    <w:rsid w:val="00CB0FBB"/>
    <w:rsid w:val="00CB138F"/>
    <w:rsid w:val="00CB3EC3"/>
    <w:rsid w:val="00CB5A9A"/>
    <w:rsid w:val="00CC0346"/>
    <w:rsid w:val="00CC06AA"/>
    <w:rsid w:val="00CC4712"/>
    <w:rsid w:val="00CC60DC"/>
    <w:rsid w:val="00CD0D54"/>
    <w:rsid w:val="00CD23AB"/>
    <w:rsid w:val="00CD3397"/>
    <w:rsid w:val="00CD3861"/>
    <w:rsid w:val="00CD3FD3"/>
    <w:rsid w:val="00CD528C"/>
    <w:rsid w:val="00CD78BF"/>
    <w:rsid w:val="00CE0A86"/>
    <w:rsid w:val="00CE3A57"/>
    <w:rsid w:val="00CE42D8"/>
    <w:rsid w:val="00CE4906"/>
    <w:rsid w:val="00CE5E54"/>
    <w:rsid w:val="00CE66D1"/>
    <w:rsid w:val="00CF0985"/>
    <w:rsid w:val="00CF09DD"/>
    <w:rsid w:val="00CF0A93"/>
    <w:rsid w:val="00CF2099"/>
    <w:rsid w:val="00CF24BB"/>
    <w:rsid w:val="00CF59DE"/>
    <w:rsid w:val="00CF619F"/>
    <w:rsid w:val="00CF654B"/>
    <w:rsid w:val="00CF78F2"/>
    <w:rsid w:val="00D01029"/>
    <w:rsid w:val="00D01A35"/>
    <w:rsid w:val="00D035E0"/>
    <w:rsid w:val="00D03F95"/>
    <w:rsid w:val="00D04B9E"/>
    <w:rsid w:val="00D05946"/>
    <w:rsid w:val="00D10409"/>
    <w:rsid w:val="00D1100B"/>
    <w:rsid w:val="00D13FFF"/>
    <w:rsid w:val="00D15373"/>
    <w:rsid w:val="00D16BE8"/>
    <w:rsid w:val="00D20E02"/>
    <w:rsid w:val="00D20E15"/>
    <w:rsid w:val="00D22A47"/>
    <w:rsid w:val="00D23A18"/>
    <w:rsid w:val="00D243C7"/>
    <w:rsid w:val="00D25C42"/>
    <w:rsid w:val="00D32670"/>
    <w:rsid w:val="00D32C51"/>
    <w:rsid w:val="00D33E99"/>
    <w:rsid w:val="00D34BFC"/>
    <w:rsid w:val="00D358AB"/>
    <w:rsid w:val="00D41CCF"/>
    <w:rsid w:val="00D425F8"/>
    <w:rsid w:val="00D4283F"/>
    <w:rsid w:val="00D4329D"/>
    <w:rsid w:val="00D4439D"/>
    <w:rsid w:val="00D44BC6"/>
    <w:rsid w:val="00D45846"/>
    <w:rsid w:val="00D47AC0"/>
    <w:rsid w:val="00D47B6C"/>
    <w:rsid w:val="00D502B8"/>
    <w:rsid w:val="00D50D65"/>
    <w:rsid w:val="00D524B7"/>
    <w:rsid w:val="00D52862"/>
    <w:rsid w:val="00D52D4B"/>
    <w:rsid w:val="00D531B4"/>
    <w:rsid w:val="00D53FE4"/>
    <w:rsid w:val="00D5678B"/>
    <w:rsid w:val="00D5693B"/>
    <w:rsid w:val="00D5699B"/>
    <w:rsid w:val="00D57082"/>
    <w:rsid w:val="00D571BC"/>
    <w:rsid w:val="00D57D3F"/>
    <w:rsid w:val="00D641C1"/>
    <w:rsid w:val="00D64C1E"/>
    <w:rsid w:val="00D67765"/>
    <w:rsid w:val="00D71F65"/>
    <w:rsid w:val="00D7251A"/>
    <w:rsid w:val="00D731BB"/>
    <w:rsid w:val="00D747D6"/>
    <w:rsid w:val="00D748BD"/>
    <w:rsid w:val="00D81FDF"/>
    <w:rsid w:val="00D82169"/>
    <w:rsid w:val="00D853B1"/>
    <w:rsid w:val="00D85E83"/>
    <w:rsid w:val="00D85EAA"/>
    <w:rsid w:val="00D8624F"/>
    <w:rsid w:val="00D908FE"/>
    <w:rsid w:val="00D915E5"/>
    <w:rsid w:val="00D915FD"/>
    <w:rsid w:val="00D91D5F"/>
    <w:rsid w:val="00D933C4"/>
    <w:rsid w:val="00D94882"/>
    <w:rsid w:val="00D96370"/>
    <w:rsid w:val="00D96504"/>
    <w:rsid w:val="00D9678D"/>
    <w:rsid w:val="00D97A8A"/>
    <w:rsid w:val="00DA0102"/>
    <w:rsid w:val="00DA13CC"/>
    <w:rsid w:val="00DA2A5D"/>
    <w:rsid w:val="00DA351D"/>
    <w:rsid w:val="00DA4332"/>
    <w:rsid w:val="00DA4A90"/>
    <w:rsid w:val="00DA5919"/>
    <w:rsid w:val="00DA62FF"/>
    <w:rsid w:val="00DA7AFE"/>
    <w:rsid w:val="00DA7F38"/>
    <w:rsid w:val="00DB14B0"/>
    <w:rsid w:val="00DB30EA"/>
    <w:rsid w:val="00DB4B7F"/>
    <w:rsid w:val="00DB62AC"/>
    <w:rsid w:val="00DC0929"/>
    <w:rsid w:val="00DC1617"/>
    <w:rsid w:val="00DC210C"/>
    <w:rsid w:val="00DC379C"/>
    <w:rsid w:val="00DC435A"/>
    <w:rsid w:val="00DC5316"/>
    <w:rsid w:val="00DC6D72"/>
    <w:rsid w:val="00DD10D8"/>
    <w:rsid w:val="00DD1F34"/>
    <w:rsid w:val="00DD373A"/>
    <w:rsid w:val="00DD3A7B"/>
    <w:rsid w:val="00DD54A3"/>
    <w:rsid w:val="00DD79D5"/>
    <w:rsid w:val="00DD7D8D"/>
    <w:rsid w:val="00DE101D"/>
    <w:rsid w:val="00DE333A"/>
    <w:rsid w:val="00DE5A6A"/>
    <w:rsid w:val="00DE72DA"/>
    <w:rsid w:val="00DE73D5"/>
    <w:rsid w:val="00DE7B13"/>
    <w:rsid w:val="00DF1B6C"/>
    <w:rsid w:val="00DF1B9A"/>
    <w:rsid w:val="00DF2643"/>
    <w:rsid w:val="00DF6200"/>
    <w:rsid w:val="00E03042"/>
    <w:rsid w:val="00E04375"/>
    <w:rsid w:val="00E04F4A"/>
    <w:rsid w:val="00E06561"/>
    <w:rsid w:val="00E073F6"/>
    <w:rsid w:val="00E14BEF"/>
    <w:rsid w:val="00E1677A"/>
    <w:rsid w:val="00E17F47"/>
    <w:rsid w:val="00E201C0"/>
    <w:rsid w:val="00E230F4"/>
    <w:rsid w:val="00E23FCA"/>
    <w:rsid w:val="00E2455B"/>
    <w:rsid w:val="00E25F9B"/>
    <w:rsid w:val="00E30314"/>
    <w:rsid w:val="00E32FDC"/>
    <w:rsid w:val="00E33338"/>
    <w:rsid w:val="00E34F52"/>
    <w:rsid w:val="00E35EDE"/>
    <w:rsid w:val="00E37353"/>
    <w:rsid w:val="00E40BB4"/>
    <w:rsid w:val="00E45231"/>
    <w:rsid w:val="00E4692B"/>
    <w:rsid w:val="00E47254"/>
    <w:rsid w:val="00E5149D"/>
    <w:rsid w:val="00E52062"/>
    <w:rsid w:val="00E533FC"/>
    <w:rsid w:val="00E53466"/>
    <w:rsid w:val="00E553EC"/>
    <w:rsid w:val="00E5571D"/>
    <w:rsid w:val="00E57011"/>
    <w:rsid w:val="00E5725F"/>
    <w:rsid w:val="00E57506"/>
    <w:rsid w:val="00E57701"/>
    <w:rsid w:val="00E61AF6"/>
    <w:rsid w:val="00E62007"/>
    <w:rsid w:val="00E62594"/>
    <w:rsid w:val="00E63068"/>
    <w:rsid w:val="00E636D4"/>
    <w:rsid w:val="00E6396B"/>
    <w:rsid w:val="00E64464"/>
    <w:rsid w:val="00E657A5"/>
    <w:rsid w:val="00E7060B"/>
    <w:rsid w:val="00E70BD0"/>
    <w:rsid w:val="00E726AA"/>
    <w:rsid w:val="00E74B6A"/>
    <w:rsid w:val="00E766E6"/>
    <w:rsid w:val="00E76900"/>
    <w:rsid w:val="00E77F40"/>
    <w:rsid w:val="00E80E53"/>
    <w:rsid w:val="00E82BFC"/>
    <w:rsid w:val="00E8375A"/>
    <w:rsid w:val="00E83876"/>
    <w:rsid w:val="00E8423C"/>
    <w:rsid w:val="00E84F59"/>
    <w:rsid w:val="00E90619"/>
    <w:rsid w:val="00E90AF4"/>
    <w:rsid w:val="00E918A0"/>
    <w:rsid w:val="00E91C81"/>
    <w:rsid w:val="00E93C28"/>
    <w:rsid w:val="00E95C06"/>
    <w:rsid w:val="00E969E9"/>
    <w:rsid w:val="00E97E76"/>
    <w:rsid w:val="00EA07FC"/>
    <w:rsid w:val="00EA23E2"/>
    <w:rsid w:val="00EA308B"/>
    <w:rsid w:val="00EA3F17"/>
    <w:rsid w:val="00EA5374"/>
    <w:rsid w:val="00EA54B8"/>
    <w:rsid w:val="00EA6D95"/>
    <w:rsid w:val="00EA7CEE"/>
    <w:rsid w:val="00EA7D3A"/>
    <w:rsid w:val="00EB1D7C"/>
    <w:rsid w:val="00EB3BDB"/>
    <w:rsid w:val="00EB3F50"/>
    <w:rsid w:val="00EC4A05"/>
    <w:rsid w:val="00ED0FA4"/>
    <w:rsid w:val="00ED1ED6"/>
    <w:rsid w:val="00ED31FF"/>
    <w:rsid w:val="00ED381A"/>
    <w:rsid w:val="00ED4A2D"/>
    <w:rsid w:val="00ED741A"/>
    <w:rsid w:val="00ED755A"/>
    <w:rsid w:val="00ED7DE8"/>
    <w:rsid w:val="00EE11C2"/>
    <w:rsid w:val="00EE1613"/>
    <w:rsid w:val="00EE1EE5"/>
    <w:rsid w:val="00EE3513"/>
    <w:rsid w:val="00EE3FE3"/>
    <w:rsid w:val="00EE45A1"/>
    <w:rsid w:val="00EE4F02"/>
    <w:rsid w:val="00EE6CD8"/>
    <w:rsid w:val="00EF1DBE"/>
    <w:rsid w:val="00EF1E76"/>
    <w:rsid w:val="00EF333B"/>
    <w:rsid w:val="00EF3816"/>
    <w:rsid w:val="00EF5B2A"/>
    <w:rsid w:val="00EF5CA7"/>
    <w:rsid w:val="00EF6084"/>
    <w:rsid w:val="00EF69A6"/>
    <w:rsid w:val="00EF78D5"/>
    <w:rsid w:val="00F009D3"/>
    <w:rsid w:val="00F0164A"/>
    <w:rsid w:val="00F026D5"/>
    <w:rsid w:val="00F03CA8"/>
    <w:rsid w:val="00F03DC5"/>
    <w:rsid w:val="00F069D4"/>
    <w:rsid w:val="00F072EC"/>
    <w:rsid w:val="00F07355"/>
    <w:rsid w:val="00F1179F"/>
    <w:rsid w:val="00F1389B"/>
    <w:rsid w:val="00F14FC3"/>
    <w:rsid w:val="00F15A8E"/>
    <w:rsid w:val="00F15B64"/>
    <w:rsid w:val="00F1679D"/>
    <w:rsid w:val="00F170A6"/>
    <w:rsid w:val="00F20B44"/>
    <w:rsid w:val="00F20B60"/>
    <w:rsid w:val="00F20CAB"/>
    <w:rsid w:val="00F21456"/>
    <w:rsid w:val="00F23692"/>
    <w:rsid w:val="00F23B96"/>
    <w:rsid w:val="00F24DEC"/>
    <w:rsid w:val="00F2535D"/>
    <w:rsid w:val="00F279D1"/>
    <w:rsid w:val="00F30768"/>
    <w:rsid w:val="00F30CB2"/>
    <w:rsid w:val="00F32759"/>
    <w:rsid w:val="00F328C4"/>
    <w:rsid w:val="00F33B0A"/>
    <w:rsid w:val="00F35A3A"/>
    <w:rsid w:val="00F36CAA"/>
    <w:rsid w:val="00F37241"/>
    <w:rsid w:val="00F37946"/>
    <w:rsid w:val="00F4017B"/>
    <w:rsid w:val="00F4053B"/>
    <w:rsid w:val="00F40EEB"/>
    <w:rsid w:val="00F4151D"/>
    <w:rsid w:val="00F41687"/>
    <w:rsid w:val="00F433BD"/>
    <w:rsid w:val="00F43581"/>
    <w:rsid w:val="00F44F0B"/>
    <w:rsid w:val="00F452E2"/>
    <w:rsid w:val="00F47247"/>
    <w:rsid w:val="00F47C94"/>
    <w:rsid w:val="00F500ED"/>
    <w:rsid w:val="00F509B4"/>
    <w:rsid w:val="00F5166C"/>
    <w:rsid w:val="00F5188C"/>
    <w:rsid w:val="00F52A86"/>
    <w:rsid w:val="00F52F6B"/>
    <w:rsid w:val="00F54A1D"/>
    <w:rsid w:val="00F560D3"/>
    <w:rsid w:val="00F57335"/>
    <w:rsid w:val="00F61A6C"/>
    <w:rsid w:val="00F6431A"/>
    <w:rsid w:val="00F664C0"/>
    <w:rsid w:val="00F66CFA"/>
    <w:rsid w:val="00F709C2"/>
    <w:rsid w:val="00F7415F"/>
    <w:rsid w:val="00F74BF7"/>
    <w:rsid w:val="00F80997"/>
    <w:rsid w:val="00F80EE0"/>
    <w:rsid w:val="00F80F6B"/>
    <w:rsid w:val="00F8163D"/>
    <w:rsid w:val="00F826E8"/>
    <w:rsid w:val="00F82AB0"/>
    <w:rsid w:val="00F83B30"/>
    <w:rsid w:val="00F83D35"/>
    <w:rsid w:val="00F83D52"/>
    <w:rsid w:val="00F847E7"/>
    <w:rsid w:val="00F85576"/>
    <w:rsid w:val="00F8630F"/>
    <w:rsid w:val="00F863EE"/>
    <w:rsid w:val="00F87C44"/>
    <w:rsid w:val="00F903C7"/>
    <w:rsid w:val="00F920D1"/>
    <w:rsid w:val="00F9412F"/>
    <w:rsid w:val="00F94A53"/>
    <w:rsid w:val="00F95EFC"/>
    <w:rsid w:val="00F97108"/>
    <w:rsid w:val="00FA1413"/>
    <w:rsid w:val="00FA42D2"/>
    <w:rsid w:val="00FA5C10"/>
    <w:rsid w:val="00FA7C48"/>
    <w:rsid w:val="00FB0953"/>
    <w:rsid w:val="00FB0B14"/>
    <w:rsid w:val="00FB0B4D"/>
    <w:rsid w:val="00FB0BE5"/>
    <w:rsid w:val="00FB12B4"/>
    <w:rsid w:val="00FB1F0A"/>
    <w:rsid w:val="00FB2852"/>
    <w:rsid w:val="00FB30BA"/>
    <w:rsid w:val="00FB5460"/>
    <w:rsid w:val="00FB585F"/>
    <w:rsid w:val="00FB5D70"/>
    <w:rsid w:val="00FB6F4F"/>
    <w:rsid w:val="00FC00D4"/>
    <w:rsid w:val="00FC0BAC"/>
    <w:rsid w:val="00FC0F92"/>
    <w:rsid w:val="00FC148E"/>
    <w:rsid w:val="00FC152C"/>
    <w:rsid w:val="00FC2D31"/>
    <w:rsid w:val="00FC3C38"/>
    <w:rsid w:val="00FC3D89"/>
    <w:rsid w:val="00FC40B4"/>
    <w:rsid w:val="00FC57BA"/>
    <w:rsid w:val="00FC625A"/>
    <w:rsid w:val="00FD1F79"/>
    <w:rsid w:val="00FD343D"/>
    <w:rsid w:val="00FD38D9"/>
    <w:rsid w:val="00FD3AEF"/>
    <w:rsid w:val="00FD6439"/>
    <w:rsid w:val="00FD64B3"/>
    <w:rsid w:val="00FD7942"/>
    <w:rsid w:val="00FE0A18"/>
    <w:rsid w:val="00FE0F09"/>
    <w:rsid w:val="00FE2BA7"/>
    <w:rsid w:val="00FE2CB7"/>
    <w:rsid w:val="00FE336A"/>
    <w:rsid w:val="00FE422E"/>
    <w:rsid w:val="00FE4834"/>
    <w:rsid w:val="00FE4AC0"/>
    <w:rsid w:val="00FE5355"/>
    <w:rsid w:val="00FE58C9"/>
    <w:rsid w:val="00FE753C"/>
    <w:rsid w:val="00FF14DE"/>
    <w:rsid w:val="00FF1C48"/>
    <w:rsid w:val="00FF22D9"/>
    <w:rsid w:val="00FF248F"/>
    <w:rsid w:val="00FF2931"/>
    <w:rsid w:val="00FF3071"/>
    <w:rsid w:val="00FF57F0"/>
    <w:rsid w:val="00FF5F8F"/>
    <w:rsid w:val="00FF6552"/>
    <w:rsid w:val="00FF6E92"/>
    <w:rsid w:val="00FF7C3C"/>
  </w:rsids>
  <m:mathPr>
    <m:mathFont m:val="Cambria Math"/>
    <m:brkBin m:val="before"/>
    <m:brkBinSub m:val="--"/>
    <m:smallFrac/>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F247A48"/>
  <w15:docId w15:val="{9C0A824F-A7F8-8F41-B7DC-E5EBCFEC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qFormat="1"/>
    <w:lsdException w:name="annotation text" w:locked="1" w:semiHidden="1" w:unhideWhenUsed="1"/>
    <w:lsdException w:name="header" w:locked="1" w:semiHidden="1" w:uiPriority="99" w:unhideWhenUsed="1"/>
    <w:lsdException w:name="footer" w:locked="1" w:semiHidden="1"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iPriority="99" w:unhideWhenUsed="1"/>
    <w:lsdException w:name="List Bullet" w:locked="1" w:semiHidden="1" w:uiPriority="99" w:unhideWhenUsed="1"/>
    <w:lsdException w:name="List Number" w:locked="1"/>
    <w:lsdException w:name="List 2" w:locked="1" w:semiHidden="1" w:uiPriority="99" w:unhideWhenUsed="1"/>
    <w:lsdException w:name="List 3" w:locked="1" w:semiHidden="1" w:uiPriority="99"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iPriority="99" w:unhideWhenUsed="1"/>
    <w:lsdException w:name="Signature" w:locked="1" w:semiHidden="1" w:uiPriority="99"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lsdException w:name="Block Text" w:locked="1" w:uiPriority="99"/>
    <w:lsdException w:name="Hyperlink" w:locked="1" w:uiPriority="99"/>
    <w:lsdException w:name="FollowedHyperlink" w:locked="1" w:uiPriority="99"/>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iPriority="99"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iPriority="99"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04B"/>
    <w:pPr>
      <w:spacing w:after="120" w:line="300" w:lineRule="atLeast"/>
    </w:pPr>
    <w:rPr>
      <w:sz w:val="22"/>
      <w:szCs w:val="24"/>
      <w:lang w:val="en-GB"/>
    </w:rPr>
  </w:style>
  <w:style w:type="paragraph" w:styleId="Heading1">
    <w:name w:val="heading 1"/>
    <w:link w:val="Heading1Char"/>
    <w:qFormat/>
    <w:rsid w:val="006A5988"/>
    <w:pPr>
      <w:numPr>
        <w:numId w:val="2"/>
      </w:numPr>
      <w:spacing w:before="400" w:line="312" w:lineRule="auto"/>
      <w:outlineLvl w:val="0"/>
    </w:pPr>
    <w:rPr>
      <w:rFonts w:ascii="Trebuchet MS" w:eastAsia="ヒラギノ角ゴ Pro W3" w:hAnsi="Trebuchet MS"/>
      <w:b/>
      <w:color w:val="009C4C"/>
      <w:sz w:val="28"/>
      <w:lang w:val="en-GB" w:eastAsia="zh-CN"/>
    </w:rPr>
  </w:style>
  <w:style w:type="paragraph" w:styleId="Heading2">
    <w:name w:val="heading 2"/>
    <w:link w:val="Heading2Char"/>
    <w:qFormat/>
    <w:rsid w:val="006A5988"/>
    <w:pPr>
      <w:numPr>
        <w:ilvl w:val="1"/>
        <w:numId w:val="2"/>
      </w:numPr>
      <w:spacing w:before="240" w:line="288" w:lineRule="auto"/>
      <w:outlineLvl w:val="1"/>
    </w:pPr>
    <w:rPr>
      <w:rFonts w:ascii="Trebuchet MS" w:eastAsia="ヒラギノ角ゴ Pro W3" w:hAnsi="Trebuchet MS"/>
      <w:b/>
      <w:color w:val="000000"/>
      <w:sz w:val="24"/>
      <w:lang w:eastAsia="zh-CN"/>
    </w:rPr>
  </w:style>
  <w:style w:type="paragraph" w:styleId="Heading3">
    <w:name w:val="heading 3"/>
    <w:basedOn w:val="Heading2"/>
    <w:next w:val="Normal"/>
    <w:link w:val="Heading3Char"/>
    <w:unhideWhenUsed/>
    <w:qFormat/>
    <w:locked/>
    <w:rsid w:val="006A5988"/>
    <w:pPr>
      <w:numPr>
        <w:ilvl w:val="2"/>
      </w:numPr>
      <w:spacing w:before="360"/>
      <w:outlineLvl w:val="2"/>
    </w:pPr>
    <w:rPr>
      <w:b w:val="0"/>
    </w:rPr>
  </w:style>
  <w:style w:type="paragraph" w:styleId="Heading4">
    <w:name w:val="heading 4"/>
    <w:basedOn w:val="Normal"/>
    <w:next w:val="Normal"/>
    <w:link w:val="Heading4Char"/>
    <w:unhideWhenUsed/>
    <w:qFormat/>
    <w:locked/>
    <w:rsid w:val="006A5988"/>
    <w:pPr>
      <w:keepNext/>
      <w:keepLines/>
      <w:numPr>
        <w:ilvl w:val="3"/>
        <w:numId w:val="2"/>
      </w:numPr>
      <w:spacing w:before="200"/>
      <w:outlineLvl w:val="3"/>
    </w:pPr>
    <w:rPr>
      <w:rFonts w:ascii="Trebuchet MS" w:eastAsiaTheme="majorEastAsia" w:hAnsi="Trebuchet MS" w:cstheme="majorBidi"/>
      <w:bCs/>
      <w:i/>
      <w:iCs/>
    </w:rPr>
  </w:style>
  <w:style w:type="paragraph" w:styleId="Heading5">
    <w:name w:val="heading 5"/>
    <w:basedOn w:val="Normal"/>
    <w:next w:val="Normal"/>
    <w:link w:val="Heading5Char"/>
    <w:unhideWhenUsed/>
    <w:qFormat/>
    <w:locked/>
    <w:rsid w:val="006A5988"/>
    <w:pPr>
      <w:keepNext/>
      <w:keepLines/>
      <w:numPr>
        <w:ilvl w:val="4"/>
        <w:numId w:val="2"/>
      </w:numPr>
      <w:spacing w:before="200"/>
      <w:outlineLvl w:val="4"/>
    </w:pPr>
    <w:rPr>
      <w:rFonts w:asciiTheme="majorHAnsi" w:eastAsiaTheme="majorEastAsia" w:hAnsiTheme="majorHAnsi" w:cstheme="majorBidi"/>
      <w:color w:val="004D25" w:themeColor="accent1" w:themeShade="7F"/>
    </w:rPr>
  </w:style>
  <w:style w:type="paragraph" w:styleId="Heading6">
    <w:name w:val="heading 6"/>
    <w:basedOn w:val="Normal"/>
    <w:next w:val="Normal"/>
    <w:link w:val="Heading6Char"/>
    <w:unhideWhenUsed/>
    <w:qFormat/>
    <w:locked/>
    <w:rsid w:val="006A5988"/>
    <w:pPr>
      <w:keepNext/>
      <w:keepLines/>
      <w:numPr>
        <w:ilvl w:val="5"/>
        <w:numId w:val="2"/>
      </w:numPr>
      <w:spacing w:before="200"/>
      <w:outlineLvl w:val="5"/>
    </w:pPr>
    <w:rPr>
      <w:rFonts w:asciiTheme="majorHAnsi" w:eastAsiaTheme="majorEastAsia" w:hAnsiTheme="majorHAnsi" w:cstheme="majorBidi"/>
      <w:i/>
      <w:iCs/>
      <w:color w:val="004D25" w:themeColor="accent1" w:themeShade="7F"/>
    </w:rPr>
  </w:style>
  <w:style w:type="paragraph" w:styleId="Heading7">
    <w:name w:val="heading 7"/>
    <w:basedOn w:val="Normal"/>
    <w:next w:val="Normal"/>
    <w:link w:val="Heading7Char"/>
    <w:semiHidden/>
    <w:unhideWhenUsed/>
    <w:qFormat/>
    <w:locked/>
    <w:rsid w:val="006A598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6A598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6A598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568"/>
    <w:rPr>
      <w:rFonts w:ascii="Trebuchet MS" w:eastAsia="ヒラギノ角ゴ Pro W3" w:hAnsi="Trebuchet MS"/>
      <w:b/>
      <w:color w:val="009C4C"/>
      <w:sz w:val="28"/>
      <w:lang w:val="en-GB" w:eastAsia="zh-CN"/>
    </w:rPr>
  </w:style>
  <w:style w:type="character" w:customStyle="1" w:styleId="Heading2Char">
    <w:name w:val="Heading 2 Char"/>
    <w:basedOn w:val="DefaultParagraphFont"/>
    <w:link w:val="Heading2"/>
    <w:rsid w:val="006A5988"/>
    <w:rPr>
      <w:rFonts w:ascii="Trebuchet MS" w:eastAsia="ヒラギノ角ゴ Pro W3" w:hAnsi="Trebuchet MS"/>
      <w:b/>
      <w:color w:val="000000"/>
      <w:sz w:val="24"/>
      <w:lang w:eastAsia="zh-CN"/>
    </w:rPr>
  </w:style>
  <w:style w:type="character" w:customStyle="1" w:styleId="Heading3Char">
    <w:name w:val="Heading 3 Char"/>
    <w:basedOn w:val="DefaultParagraphFont"/>
    <w:link w:val="Heading3"/>
    <w:rsid w:val="006A5988"/>
    <w:rPr>
      <w:rFonts w:ascii="Trebuchet MS" w:eastAsia="ヒラギノ角ゴ Pro W3" w:hAnsi="Trebuchet MS"/>
      <w:color w:val="000000"/>
      <w:sz w:val="24"/>
      <w:lang w:eastAsia="zh-CN"/>
    </w:rPr>
  </w:style>
  <w:style w:type="character" w:customStyle="1" w:styleId="Heading4Char">
    <w:name w:val="Heading 4 Char"/>
    <w:basedOn w:val="DefaultParagraphFont"/>
    <w:link w:val="Heading4"/>
    <w:rsid w:val="006A5988"/>
    <w:rPr>
      <w:rFonts w:ascii="Trebuchet MS" w:eastAsiaTheme="majorEastAsia" w:hAnsi="Trebuchet MS" w:cstheme="majorBidi"/>
      <w:bCs/>
      <w:i/>
      <w:iCs/>
      <w:sz w:val="22"/>
      <w:szCs w:val="24"/>
      <w:lang w:val="en-GB"/>
    </w:rPr>
  </w:style>
  <w:style w:type="character" w:customStyle="1" w:styleId="Heading5Char">
    <w:name w:val="Heading 5 Char"/>
    <w:basedOn w:val="DefaultParagraphFont"/>
    <w:link w:val="Heading5"/>
    <w:rsid w:val="006A5988"/>
    <w:rPr>
      <w:rFonts w:asciiTheme="majorHAnsi" w:eastAsiaTheme="majorEastAsia" w:hAnsiTheme="majorHAnsi" w:cstheme="majorBidi"/>
      <w:color w:val="004D25" w:themeColor="accent1" w:themeShade="7F"/>
      <w:sz w:val="22"/>
      <w:szCs w:val="24"/>
      <w:lang w:val="en-GB"/>
    </w:rPr>
  </w:style>
  <w:style w:type="character" w:customStyle="1" w:styleId="Heading6Char">
    <w:name w:val="Heading 6 Char"/>
    <w:basedOn w:val="DefaultParagraphFont"/>
    <w:link w:val="Heading6"/>
    <w:rsid w:val="006A5988"/>
    <w:rPr>
      <w:rFonts w:asciiTheme="majorHAnsi" w:eastAsiaTheme="majorEastAsia" w:hAnsiTheme="majorHAnsi" w:cstheme="majorBidi"/>
      <w:i/>
      <w:iCs/>
      <w:color w:val="004D25" w:themeColor="accent1" w:themeShade="7F"/>
      <w:sz w:val="22"/>
      <w:szCs w:val="24"/>
      <w:lang w:val="en-GB"/>
    </w:rPr>
  </w:style>
  <w:style w:type="character" w:customStyle="1" w:styleId="Heading7Char">
    <w:name w:val="Heading 7 Char"/>
    <w:basedOn w:val="DefaultParagraphFont"/>
    <w:link w:val="Heading7"/>
    <w:semiHidden/>
    <w:rsid w:val="006A5988"/>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semiHidden/>
    <w:rsid w:val="006A5988"/>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6A5988"/>
    <w:rPr>
      <w:rFonts w:asciiTheme="majorHAnsi" w:eastAsiaTheme="majorEastAsia" w:hAnsiTheme="majorHAnsi" w:cstheme="majorBidi"/>
      <w:i/>
      <w:iCs/>
      <w:color w:val="404040" w:themeColor="text1" w:themeTint="BF"/>
      <w:lang w:val="en-GB"/>
    </w:rPr>
  </w:style>
  <w:style w:type="paragraph" w:customStyle="1" w:styleId="HeaderFooter">
    <w:name w:val="Header &amp; Footer"/>
    <w:rsid w:val="00AE1653"/>
    <w:pPr>
      <w:tabs>
        <w:tab w:val="right" w:pos="9360"/>
      </w:tabs>
    </w:pPr>
    <w:rPr>
      <w:rFonts w:ascii="Helvetica" w:eastAsia="ヒラギノ角ゴ Pro W3" w:hAnsi="Helvetica"/>
      <w:color w:val="000000"/>
      <w:lang w:eastAsia="zh-CN"/>
    </w:rPr>
  </w:style>
  <w:style w:type="paragraph" w:customStyle="1" w:styleId="FreeForm">
    <w:name w:val="Free Form"/>
    <w:rsid w:val="00AE1653"/>
    <w:pPr>
      <w:spacing w:before="60" w:line="288" w:lineRule="auto"/>
    </w:pPr>
    <w:rPr>
      <w:rFonts w:ascii="Cambria" w:eastAsia="ヒラギノ角ゴ Pro W3" w:hAnsi="Cambria"/>
      <w:color w:val="000000"/>
      <w:sz w:val="22"/>
      <w:lang w:eastAsia="zh-CN"/>
    </w:rPr>
  </w:style>
  <w:style w:type="paragraph" w:styleId="Title">
    <w:name w:val="Title"/>
    <w:basedOn w:val="Normal"/>
    <w:next w:val="Normal"/>
    <w:link w:val="TitleChar"/>
    <w:qFormat/>
    <w:locked/>
    <w:rsid w:val="006A5988"/>
    <w:pPr>
      <w:spacing w:after="300" w:line="240" w:lineRule="auto"/>
      <w:contextualSpacing/>
    </w:pPr>
    <w:rPr>
      <w:rFonts w:ascii="Trebuchet MS" w:eastAsiaTheme="majorEastAsia" w:hAnsi="Trebuchet MS" w:cstheme="majorBidi"/>
      <w:color w:val="FFFFFF" w:themeColor="background1"/>
      <w:spacing w:val="5"/>
      <w:kern w:val="28"/>
      <w:sz w:val="64"/>
      <w:szCs w:val="52"/>
    </w:rPr>
  </w:style>
  <w:style w:type="character" w:customStyle="1" w:styleId="TitleChar">
    <w:name w:val="Title Char"/>
    <w:basedOn w:val="DefaultParagraphFont"/>
    <w:link w:val="Title"/>
    <w:rsid w:val="006A5988"/>
    <w:rPr>
      <w:rFonts w:ascii="Trebuchet MS" w:eastAsiaTheme="majorEastAsia" w:hAnsi="Trebuchet MS" w:cstheme="majorBidi"/>
      <w:color w:val="FFFFFF" w:themeColor="background1"/>
      <w:spacing w:val="5"/>
      <w:kern w:val="28"/>
      <w:sz w:val="64"/>
      <w:szCs w:val="52"/>
      <w:lang w:val="en-GB"/>
    </w:rPr>
  </w:style>
  <w:style w:type="paragraph" w:styleId="BalloonText">
    <w:name w:val="Balloon Text"/>
    <w:basedOn w:val="Normal"/>
    <w:link w:val="BalloonTextChar"/>
    <w:locked/>
    <w:rsid w:val="00BC7767"/>
    <w:rPr>
      <w:rFonts w:ascii="Tahoma" w:hAnsi="Tahoma" w:cs="Tahoma"/>
      <w:sz w:val="16"/>
      <w:szCs w:val="16"/>
    </w:rPr>
  </w:style>
  <w:style w:type="character" w:customStyle="1" w:styleId="BalloonTextChar">
    <w:name w:val="Balloon Text Char"/>
    <w:link w:val="BalloonText"/>
    <w:rsid w:val="00BC7767"/>
    <w:rPr>
      <w:rFonts w:ascii="Tahoma" w:hAnsi="Tahoma" w:cs="Tahoma"/>
      <w:sz w:val="16"/>
      <w:szCs w:val="16"/>
      <w:lang w:eastAsia="en-US"/>
    </w:rPr>
  </w:style>
  <w:style w:type="character" w:styleId="CommentReference">
    <w:name w:val="annotation reference"/>
    <w:locked/>
    <w:rsid w:val="00FF5F8F"/>
    <w:rPr>
      <w:sz w:val="16"/>
      <w:szCs w:val="16"/>
    </w:rPr>
  </w:style>
  <w:style w:type="paragraph" w:styleId="CommentText">
    <w:name w:val="annotation text"/>
    <w:basedOn w:val="Normal"/>
    <w:link w:val="CommentTextChar"/>
    <w:locked/>
    <w:rsid w:val="00FF5F8F"/>
    <w:rPr>
      <w:sz w:val="20"/>
      <w:szCs w:val="20"/>
    </w:rPr>
  </w:style>
  <w:style w:type="character" w:customStyle="1" w:styleId="CommentTextChar">
    <w:name w:val="Comment Text Char"/>
    <w:link w:val="CommentText"/>
    <w:rsid w:val="00FF5F8F"/>
    <w:rPr>
      <w:lang w:eastAsia="en-US"/>
    </w:rPr>
  </w:style>
  <w:style w:type="paragraph" w:styleId="CommentSubject">
    <w:name w:val="annotation subject"/>
    <w:basedOn w:val="CommentText"/>
    <w:next w:val="CommentText"/>
    <w:link w:val="CommentSubjectChar"/>
    <w:locked/>
    <w:rsid w:val="00FF5F8F"/>
    <w:rPr>
      <w:b/>
      <w:bCs/>
    </w:rPr>
  </w:style>
  <w:style w:type="character" w:customStyle="1" w:styleId="CommentSubjectChar">
    <w:name w:val="Comment Subject Char"/>
    <w:link w:val="CommentSubject"/>
    <w:rsid w:val="00FF5F8F"/>
    <w:rPr>
      <w:b/>
      <w:bCs/>
      <w:lang w:eastAsia="en-US"/>
    </w:rPr>
  </w:style>
  <w:style w:type="paragraph" w:styleId="Header">
    <w:name w:val="header"/>
    <w:basedOn w:val="Normal"/>
    <w:link w:val="HeaderChar"/>
    <w:uiPriority w:val="99"/>
    <w:locked/>
    <w:rsid w:val="00075DFC"/>
    <w:pPr>
      <w:tabs>
        <w:tab w:val="center" w:pos="4320"/>
        <w:tab w:val="right" w:pos="8640"/>
      </w:tabs>
    </w:pPr>
  </w:style>
  <w:style w:type="character" w:customStyle="1" w:styleId="HeaderChar">
    <w:name w:val="Header Char"/>
    <w:basedOn w:val="DefaultParagraphFont"/>
    <w:link w:val="Header"/>
    <w:uiPriority w:val="99"/>
    <w:rsid w:val="00075DFC"/>
    <w:rPr>
      <w:sz w:val="24"/>
      <w:szCs w:val="24"/>
    </w:rPr>
  </w:style>
  <w:style w:type="paragraph" w:styleId="Footer">
    <w:name w:val="footer"/>
    <w:basedOn w:val="Normal"/>
    <w:link w:val="FooterChar"/>
    <w:locked/>
    <w:rsid w:val="00075DFC"/>
    <w:pPr>
      <w:tabs>
        <w:tab w:val="center" w:pos="4320"/>
        <w:tab w:val="right" w:pos="8640"/>
      </w:tabs>
    </w:pPr>
  </w:style>
  <w:style w:type="character" w:customStyle="1" w:styleId="FooterChar">
    <w:name w:val="Footer Char"/>
    <w:basedOn w:val="DefaultParagraphFont"/>
    <w:link w:val="Footer"/>
    <w:rsid w:val="00075DFC"/>
    <w:rPr>
      <w:sz w:val="24"/>
      <w:szCs w:val="24"/>
    </w:rPr>
  </w:style>
  <w:style w:type="paragraph" w:styleId="Caption">
    <w:name w:val="caption"/>
    <w:basedOn w:val="Normal"/>
    <w:next w:val="Normal"/>
    <w:uiPriority w:val="35"/>
    <w:unhideWhenUsed/>
    <w:qFormat/>
    <w:locked/>
    <w:rsid w:val="006A5988"/>
    <w:pPr>
      <w:spacing w:after="200"/>
    </w:pPr>
    <w:rPr>
      <w:rFonts w:ascii="Trebuchet MS" w:hAnsi="Trebuchet MS"/>
      <w:b/>
      <w:bCs/>
      <w:color w:val="404040"/>
      <w:sz w:val="20"/>
      <w:szCs w:val="20"/>
    </w:rPr>
  </w:style>
  <w:style w:type="paragraph" w:styleId="Subtitle">
    <w:name w:val="Subtitle"/>
    <w:basedOn w:val="FreeForm"/>
    <w:next w:val="Normal"/>
    <w:link w:val="SubtitleChar"/>
    <w:qFormat/>
    <w:locked/>
    <w:rsid w:val="006A5988"/>
    <w:rPr>
      <w:rFonts w:ascii="Trebuchet MS" w:hAnsi="Trebuchet MS"/>
      <w:color w:val="FFFFFF" w:themeColor="background1"/>
      <w:sz w:val="28"/>
      <w:lang w:val="en-GB"/>
    </w:rPr>
  </w:style>
  <w:style w:type="character" w:customStyle="1" w:styleId="SubtitleChar">
    <w:name w:val="Subtitle Char"/>
    <w:basedOn w:val="DefaultParagraphFont"/>
    <w:link w:val="Subtitle"/>
    <w:rsid w:val="006A5988"/>
    <w:rPr>
      <w:rFonts w:ascii="Trebuchet MS" w:eastAsia="ヒラギノ角ゴ Pro W3" w:hAnsi="Trebuchet MS"/>
      <w:color w:val="FFFFFF" w:themeColor="background1"/>
      <w:sz w:val="28"/>
      <w:lang w:val="en-GB" w:eastAsia="zh-CN"/>
    </w:rPr>
  </w:style>
  <w:style w:type="table" w:styleId="TableGrid">
    <w:name w:val="Table Grid"/>
    <w:basedOn w:val="TableNormal"/>
    <w:uiPriority w:val="59"/>
    <w:locked/>
    <w:rsid w:val="003C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6A5988"/>
    <w:pPr>
      <w:spacing w:after="0" w:line="0" w:lineRule="atLeast"/>
    </w:pPr>
    <w:rPr>
      <w:rFonts w:ascii="Trebuchet MS" w:hAnsi="Trebuchet MS"/>
      <w:sz w:val="18"/>
      <w:szCs w:val="18"/>
    </w:rPr>
  </w:style>
  <w:style w:type="table" w:customStyle="1" w:styleId="ITDPtable">
    <w:name w:val="ITDP table"/>
    <w:basedOn w:val="TableNormal"/>
    <w:uiPriority w:val="99"/>
    <w:rsid w:val="0041385C"/>
    <w:tblPr>
      <w:tblStyleRowBandSize w:val="1"/>
      <w:tblStyleColBandSize w:val="1"/>
      <w:tblCellMar>
        <w:top w:w="58" w:type="dxa"/>
        <w:left w:w="115" w:type="dxa"/>
        <w:bottom w:w="58" w:type="dxa"/>
        <w:right w:w="115" w:type="dxa"/>
      </w:tblCellMar>
    </w:tblPr>
    <w:tcPr>
      <w:vAlign w:val="center"/>
    </w:tcPr>
    <w:tblStylePr w:type="firstRow">
      <w:pPr>
        <w:jc w:val="left"/>
      </w:pPr>
      <w:rPr>
        <w:b/>
        <w:color w:val="FFFFFF" w:themeColor="background1"/>
      </w:rPr>
      <w:tblPr/>
      <w:tcPr>
        <w:shd w:val="clear" w:color="auto" w:fill="A6A6A6" w:themeFill="background1" w:themeFillShade="A6"/>
        <w:vAlign w:val="bottom"/>
      </w:tcPr>
    </w:tblStylePr>
    <w:tblStylePr w:type="band1Vert">
      <w:pPr>
        <w:jc w:val="left"/>
      </w:pPr>
      <w:tblPr/>
      <w:tcPr>
        <w:vAlign w:val="center"/>
      </w:tcPr>
    </w:tblStylePr>
    <w:tblStylePr w:type="band1Horz">
      <w:tblPr/>
      <w:tcPr>
        <w:shd w:val="clear" w:color="auto" w:fill="F3F3F3"/>
      </w:tcPr>
    </w:tblStylePr>
    <w:tblStylePr w:type="band2Horz">
      <w:pPr>
        <w:jc w:val="left"/>
      </w:pPr>
      <w:tblPr/>
      <w:tcPr>
        <w:shd w:val="clear" w:color="auto" w:fill="E6E6E6"/>
        <w:vAlign w:val="center"/>
      </w:tcPr>
    </w:tblStylePr>
  </w:style>
  <w:style w:type="paragraph" w:customStyle="1" w:styleId="Heading1notinTOC">
    <w:name w:val="Heading 1 not in TOC"/>
    <w:basedOn w:val="Heading1"/>
    <w:qFormat/>
    <w:rsid w:val="006A5988"/>
    <w:pPr>
      <w:numPr>
        <w:numId w:val="0"/>
      </w:numPr>
    </w:pPr>
  </w:style>
  <w:style w:type="paragraph" w:styleId="TOC2">
    <w:name w:val="toc 2"/>
    <w:basedOn w:val="Normal"/>
    <w:next w:val="Normal"/>
    <w:autoRedefine/>
    <w:uiPriority w:val="39"/>
    <w:locked/>
    <w:rsid w:val="00025A7F"/>
    <w:pPr>
      <w:ind w:left="240"/>
    </w:pPr>
  </w:style>
  <w:style w:type="paragraph" w:styleId="TOC1">
    <w:name w:val="toc 1"/>
    <w:basedOn w:val="Normal"/>
    <w:next w:val="Normal"/>
    <w:autoRedefine/>
    <w:uiPriority w:val="39"/>
    <w:locked/>
    <w:rsid w:val="00EC4A05"/>
    <w:pPr>
      <w:tabs>
        <w:tab w:val="left" w:pos="360"/>
        <w:tab w:val="left" w:pos="405"/>
        <w:tab w:val="right" w:leader="dot" w:pos="9010"/>
      </w:tabs>
      <w:spacing w:after="100"/>
    </w:pPr>
    <w:rPr>
      <w:szCs w:val="22"/>
    </w:rPr>
  </w:style>
  <w:style w:type="paragraph" w:styleId="TOC3">
    <w:name w:val="toc 3"/>
    <w:basedOn w:val="Normal"/>
    <w:next w:val="Normal"/>
    <w:autoRedefine/>
    <w:uiPriority w:val="39"/>
    <w:locked/>
    <w:rsid w:val="00025A7F"/>
    <w:pPr>
      <w:ind w:left="480"/>
    </w:pPr>
  </w:style>
  <w:style w:type="paragraph" w:styleId="TOC4">
    <w:name w:val="toc 4"/>
    <w:basedOn w:val="Normal"/>
    <w:next w:val="Normal"/>
    <w:autoRedefine/>
    <w:uiPriority w:val="39"/>
    <w:locked/>
    <w:rsid w:val="00025A7F"/>
    <w:pPr>
      <w:ind w:left="720"/>
    </w:pPr>
  </w:style>
  <w:style w:type="paragraph" w:styleId="TOC5">
    <w:name w:val="toc 5"/>
    <w:basedOn w:val="Normal"/>
    <w:next w:val="Normal"/>
    <w:autoRedefine/>
    <w:uiPriority w:val="39"/>
    <w:locked/>
    <w:rsid w:val="00025A7F"/>
    <w:pPr>
      <w:ind w:left="960"/>
    </w:pPr>
  </w:style>
  <w:style w:type="paragraph" w:styleId="TOC6">
    <w:name w:val="toc 6"/>
    <w:basedOn w:val="Normal"/>
    <w:next w:val="Normal"/>
    <w:autoRedefine/>
    <w:uiPriority w:val="39"/>
    <w:locked/>
    <w:rsid w:val="00025A7F"/>
    <w:pPr>
      <w:ind w:left="1200"/>
    </w:pPr>
  </w:style>
  <w:style w:type="paragraph" w:styleId="TOC7">
    <w:name w:val="toc 7"/>
    <w:basedOn w:val="Normal"/>
    <w:next w:val="Normal"/>
    <w:autoRedefine/>
    <w:uiPriority w:val="39"/>
    <w:locked/>
    <w:rsid w:val="00025A7F"/>
    <w:pPr>
      <w:ind w:left="1440"/>
    </w:pPr>
  </w:style>
  <w:style w:type="paragraph" w:styleId="TOC8">
    <w:name w:val="toc 8"/>
    <w:basedOn w:val="Normal"/>
    <w:next w:val="Normal"/>
    <w:autoRedefine/>
    <w:uiPriority w:val="39"/>
    <w:locked/>
    <w:rsid w:val="00025A7F"/>
    <w:pPr>
      <w:ind w:left="1680"/>
    </w:pPr>
  </w:style>
  <w:style w:type="paragraph" w:styleId="TOC9">
    <w:name w:val="toc 9"/>
    <w:basedOn w:val="Normal"/>
    <w:next w:val="Normal"/>
    <w:autoRedefine/>
    <w:uiPriority w:val="39"/>
    <w:locked/>
    <w:rsid w:val="00025A7F"/>
    <w:pPr>
      <w:ind w:left="1920"/>
    </w:pPr>
  </w:style>
  <w:style w:type="paragraph" w:styleId="FootnoteText">
    <w:name w:val="footnote text"/>
    <w:basedOn w:val="Normal"/>
    <w:link w:val="FootnoteTextChar"/>
    <w:uiPriority w:val="99"/>
    <w:qFormat/>
    <w:locked/>
    <w:rsid w:val="00C22762"/>
    <w:pPr>
      <w:spacing w:after="0" w:line="240" w:lineRule="auto"/>
    </w:pPr>
    <w:rPr>
      <w:sz w:val="20"/>
      <w:szCs w:val="20"/>
    </w:rPr>
  </w:style>
  <w:style w:type="character" w:customStyle="1" w:styleId="FootnoteTextChar">
    <w:name w:val="Footnote Text Char"/>
    <w:basedOn w:val="DefaultParagraphFont"/>
    <w:link w:val="FootnoteText"/>
    <w:uiPriority w:val="99"/>
    <w:rsid w:val="00C22762"/>
  </w:style>
  <w:style w:type="character" w:styleId="FootnoteReference">
    <w:name w:val="footnote reference"/>
    <w:basedOn w:val="DefaultParagraphFont"/>
    <w:uiPriority w:val="99"/>
    <w:qFormat/>
    <w:locked/>
    <w:rsid w:val="00C22762"/>
    <w:rPr>
      <w:vertAlign w:val="superscript"/>
    </w:rPr>
  </w:style>
  <w:style w:type="paragraph" w:styleId="ListParagraph">
    <w:name w:val="List Paragraph"/>
    <w:aliases w:val="Normal list"/>
    <w:basedOn w:val="Normal"/>
    <w:link w:val="ListParagraphChar"/>
    <w:uiPriority w:val="34"/>
    <w:qFormat/>
    <w:rsid w:val="006A5988"/>
    <w:pPr>
      <w:numPr>
        <w:numId w:val="3"/>
      </w:numPr>
    </w:pPr>
  </w:style>
  <w:style w:type="character" w:customStyle="1" w:styleId="ListParagraphChar">
    <w:name w:val="List Paragraph Char"/>
    <w:aliases w:val="Normal list Char"/>
    <w:basedOn w:val="DefaultParagraphFont"/>
    <w:link w:val="ListParagraph"/>
    <w:uiPriority w:val="34"/>
    <w:qFormat/>
    <w:locked/>
    <w:rsid w:val="000E2568"/>
    <w:rPr>
      <w:sz w:val="22"/>
      <w:szCs w:val="24"/>
      <w:lang w:val="en-GB"/>
    </w:rPr>
  </w:style>
  <w:style w:type="character" w:styleId="Strong">
    <w:name w:val="Strong"/>
    <w:basedOn w:val="DefaultParagraphFont"/>
    <w:qFormat/>
    <w:locked/>
    <w:rsid w:val="006A5988"/>
    <w:rPr>
      <w:b/>
      <w:bCs/>
    </w:rPr>
  </w:style>
  <w:style w:type="paragraph" w:styleId="NormalWeb">
    <w:name w:val="Normal (Web)"/>
    <w:basedOn w:val="Normal"/>
    <w:uiPriority w:val="99"/>
    <w:unhideWhenUsed/>
    <w:locked/>
    <w:rsid w:val="00B2276C"/>
    <w:pPr>
      <w:spacing w:before="100" w:beforeAutospacing="1" w:after="100" w:afterAutospacing="1" w:line="240" w:lineRule="auto"/>
    </w:pPr>
    <w:rPr>
      <w:rFonts w:ascii="Times" w:hAnsi="Times"/>
      <w:sz w:val="20"/>
      <w:szCs w:val="20"/>
      <w:lang w:val="en-US"/>
    </w:rPr>
  </w:style>
  <w:style w:type="paragraph" w:styleId="TableofFigures">
    <w:name w:val="table of figures"/>
    <w:basedOn w:val="Normal"/>
    <w:next w:val="Normal"/>
    <w:uiPriority w:val="99"/>
    <w:locked/>
    <w:rsid w:val="004C2A5D"/>
    <w:pPr>
      <w:ind w:left="440" w:hanging="440"/>
    </w:pPr>
  </w:style>
  <w:style w:type="character" w:styleId="SubtleEmphasis">
    <w:name w:val="Subtle Emphasis"/>
    <w:basedOn w:val="DefaultParagraphFont"/>
    <w:uiPriority w:val="19"/>
    <w:qFormat/>
    <w:rsid w:val="006A5988"/>
    <w:rPr>
      <w:i/>
      <w:iCs/>
      <w:color w:val="808080" w:themeColor="text1" w:themeTint="7F"/>
    </w:rPr>
  </w:style>
  <w:style w:type="character" w:styleId="PageNumber">
    <w:name w:val="page number"/>
    <w:basedOn w:val="DefaultParagraphFont"/>
    <w:locked/>
    <w:rsid w:val="00663CB8"/>
  </w:style>
  <w:style w:type="character" w:styleId="Emphasis">
    <w:name w:val="Emphasis"/>
    <w:basedOn w:val="DefaultParagraphFont"/>
    <w:qFormat/>
    <w:locked/>
    <w:rsid w:val="006A5988"/>
    <w:rPr>
      <w:i/>
      <w:iCs/>
    </w:rPr>
  </w:style>
  <w:style w:type="character" w:styleId="Hyperlink">
    <w:name w:val="Hyperlink"/>
    <w:basedOn w:val="DefaultParagraphFont"/>
    <w:uiPriority w:val="99"/>
    <w:unhideWhenUsed/>
    <w:locked/>
    <w:rsid w:val="00DA5919"/>
    <w:rPr>
      <w:color w:val="0000FF"/>
      <w:u w:val="single"/>
    </w:rPr>
  </w:style>
  <w:style w:type="table" w:styleId="PlainTable1">
    <w:name w:val="Plain Table 1"/>
    <w:basedOn w:val="TableNormal"/>
    <w:uiPriority w:val="41"/>
    <w:rsid w:val="000E25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Normal"/>
    <w:uiPriority w:val="99"/>
    <w:rsid w:val="0078707D"/>
    <w:pPr>
      <w:autoSpaceDE w:val="0"/>
      <w:autoSpaceDN w:val="0"/>
      <w:adjustRightInd w:val="0"/>
      <w:spacing w:after="113"/>
      <w:jc w:val="both"/>
      <w:textAlignment w:val="center"/>
    </w:pPr>
    <w:rPr>
      <w:color w:val="000000"/>
      <w:szCs w:val="22"/>
      <w:lang w:bidi="gu-IN"/>
    </w:rPr>
  </w:style>
  <w:style w:type="paragraph" w:customStyle="1" w:styleId="BodyBullet">
    <w:name w:val="Body Bullet"/>
    <w:basedOn w:val="ListParagraph"/>
    <w:rsid w:val="000E2568"/>
    <w:pPr>
      <w:numPr>
        <w:numId w:val="4"/>
      </w:numPr>
    </w:pPr>
  </w:style>
  <w:style w:type="paragraph" w:customStyle="1" w:styleId="Bodysidebaryellowmiddle">
    <w:name w:val="Body sidebar yellow middle"/>
    <w:basedOn w:val="Normal"/>
    <w:uiPriority w:val="99"/>
    <w:rsid w:val="005064D5"/>
    <w:pPr>
      <w:shd w:val="clear" w:color="auto" w:fill="ECB441"/>
      <w:autoSpaceDE w:val="0"/>
      <w:autoSpaceDN w:val="0"/>
      <w:adjustRightInd w:val="0"/>
      <w:spacing w:after="113" w:line="288" w:lineRule="auto"/>
      <w:ind w:left="510" w:right="283" w:hanging="227"/>
      <w:jc w:val="both"/>
      <w:textAlignment w:val="center"/>
    </w:pPr>
    <w:rPr>
      <w:rFonts w:ascii="Franklin Gothic Book" w:hAnsi="Franklin Gothic Book" w:cs="Franklin Gothic Book"/>
      <w:color w:val="000000"/>
      <w:szCs w:val="22"/>
      <w:lang w:bidi="gu-IN"/>
    </w:rPr>
  </w:style>
  <w:style w:type="paragraph" w:customStyle="1" w:styleId="Policyhead">
    <w:name w:val="Policy head"/>
    <w:basedOn w:val="Normal"/>
    <w:next w:val="Heading2"/>
    <w:autoRedefine/>
    <w:qFormat/>
    <w:rsid w:val="000E2568"/>
    <w:pPr>
      <w:spacing w:before="240"/>
      <w:ind w:left="8730" w:hanging="360"/>
      <w:jc w:val="both"/>
    </w:pPr>
    <w:rPr>
      <w:rFonts w:ascii="Trebuchet MS" w:hAnsi="Trebuchet MS"/>
      <w:b/>
      <w:color w:val="000000" w:themeColor="text1"/>
    </w:rPr>
  </w:style>
  <w:style w:type="paragraph" w:styleId="Quote">
    <w:name w:val="Quote"/>
    <w:basedOn w:val="Normal"/>
    <w:next w:val="Normal"/>
    <w:link w:val="QuoteChar"/>
    <w:uiPriority w:val="29"/>
    <w:rsid w:val="000E2568"/>
    <w:pPr>
      <w:spacing w:after="200" w:line="276" w:lineRule="auto"/>
      <w:jc w:val="both"/>
    </w:pPr>
    <w:rPr>
      <w:rFonts w:eastAsiaTheme="minorHAnsi"/>
      <w:i/>
      <w:iCs/>
      <w:color w:val="000000" w:themeColor="text1"/>
      <w:szCs w:val="22"/>
    </w:rPr>
  </w:style>
  <w:style w:type="character" w:customStyle="1" w:styleId="QuoteChar">
    <w:name w:val="Quote Char"/>
    <w:basedOn w:val="DefaultParagraphFont"/>
    <w:link w:val="Quote"/>
    <w:uiPriority w:val="29"/>
    <w:rsid w:val="000E2568"/>
    <w:rPr>
      <w:rFonts w:eastAsiaTheme="minorHAnsi"/>
      <w:i/>
      <w:iCs/>
      <w:color w:val="000000" w:themeColor="text1"/>
      <w:sz w:val="22"/>
      <w:szCs w:val="22"/>
      <w:lang w:val="en-GB"/>
    </w:rPr>
  </w:style>
  <w:style w:type="paragraph" w:customStyle="1" w:styleId="Tabletextbullet">
    <w:name w:val="Table text bullet"/>
    <w:basedOn w:val="Tabletext"/>
    <w:rsid w:val="000E2568"/>
    <w:pPr>
      <w:numPr>
        <w:numId w:val="5"/>
      </w:numPr>
      <w:ind w:left="199" w:hanging="164"/>
    </w:pPr>
  </w:style>
  <w:style w:type="table" w:customStyle="1" w:styleId="TableGridLight1">
    <w:name w:val="Table Grid Light1"/>
    <w:basedOn w:val="TableNormal"/>
    <w:uiPriority w:val="40"/>
    <w:rsid w:val="000E25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rPr>
        <w:b/>
      </w:rPr>
    </w:tblStylePr>
  </w:style>
  <w:style w:type="paragraph" w:customStyle="1" w:styleId="Policytext1">
    <w:name w:val="Policy text 1"/>
    <w:basedOn w:val="Policyhead"/>
    <w:qFormat/>
    <w:rsid w:val="000E2568"/>
    <w:pPr>
      <w:numPr>
        <w:ilvl w:val="1"/>
      </w:numPr>
      <w:ind w:left="720" w:hanging="720"/>
      <w:jc w:val="left"/>
    </w:pPr>
    <w:rPr>
      <w:rFonts w:ascii="Times New Roman" w:eastAsiaTheme="minorHAnsi" w:hAnsi="Times New Roman"/>
      <w:b w:val="0"/>
      <w:color w:val="auto"/>
    </w:rPr>
  </w:style>
  <w:style w:type="paragraph" w:customStyle="1" w:styleId="Policytext2">
    <w:name w:val="Policy text 2"/>
    <w:basedOn w:val="Policytext1"/>
    <w:qFormat/>
    <w:rsid w:val="000E2568"/>
    <w:pPr>
      <w:numPr>
        <w:ilvl w:val="2"/>
      </w:numPr>
      <w:ind w:left="1440" w:hanging="720"/>
    </w:pPr>
  </w:style>
  <w:style w:type="paragraph" w:styleId="Bibliography">
    <w:name w:val="Bibliography"/>
    <w:basedOn w:val="Normal"/>
    <w:next w:val="Normal"/>
    <w:uiPriority w:val="37"/>
    <w:semiHidden/>
    <w:unhideWhenUsed/>
    <w:rsid w:val="000E2568"/>
    <w:pPr>
      <w:spacing w:after="200" w:line="276" w:lineRule="auto"/>
      <w:jc w:val="both"/>
    </w:pPr>
    <w:rPr>
      <w:rFonts w:eastAsiaTheme="minorHAnsi"/>
      <w:szCs w:val="22"/>
    </w:rPr>
  </w:style>
  <w:style w:type="paragraph" w:styleId="BlockText">
    <w:name w:val="Block Text"/>
    <w:basedOn w:val="Normal"/>
    <w:uiPriority w:val="99"/>
    <w:unhideWhenUsed/>
    <w:locked/>
    <w:rsid w:val="000E2568"/>
    <w:pPr>
      <w:pBdr>
        <w:top w:val="single" w:sz="2" w:space="10" w:color="009C4C" w:themeColor="accent1" w:shadow="1"/>
        <w:left w:val="single" w:sz="2" w:space="10" w:color="009C4C" w:themeColor="accent1" w:shadow="1"/>
        <w:bottom w:val="single" w:sz="2" w:space="10" w:color="009C4C" w:themeColor="accent1" w:shadow="1"/>
        <w:right w:val="single" w:sz="2" w:space="10" w:color="009C4C" w:themeColor="accent1" w:shadow="1"/>
      </w:pBdr>
      <w:spacing w:after="200" w:line="276" w:lineRule="auto"/>
      <w:ind w:left="1152" w:right="1152"/>
      <w:jc w:val="both"/>
    </w:pPr>
    <w:rPr>
      <w:rFonts w:asciiTheme="minorHAnsi" w:eastAsiaTheme="minorEastAsia" w:hAnsiTheme="minorHAnsi" w:cstheme="minorBidi"/>
      <w:i/>
      <w:iCs/>
      <w:color w:val="009C4C" w:themeColor="accent1"/>
      <w:szCs w:val="22"/>
    </w:rPr>
  </w:style>
  <w:style w:type="paragraph" w:styleId="BodyText2">
    <w:name w:val="Body Text 2"/>
    <w:basedOn w:val="Normal"/>
    <w:link w:val="BodyText2Char"/>
    <w:uiPriority w:val="99"/>
    <w:semiHidden/>
    <w:unhideWhenUsed/>
    <w:locked/>
    <w:rsid w:val="000E2568"/>
    <w:pPr>
      <w:spacing w:line="480" w:lineRule="auto"/>
      <w:jc w:val="both"/>
    </w:pPr>
    <w:rPr>
      <w:rFonts w:eastAsiaTheme="minorHAnsi"/>
      <w:szCs w:val="22"/>
    </w:rPr>
  </w:style>
  <w:style w:type="character" w:customStyle="1" w:styleId="BodyText2Char">
    <w:name w:val="Body Text 2 Char"/>
    <w:basedOn w:val="DefaultParagraphFont"/>
    <w:link w:val="BodyText2"/>
    <w:uiPriority w:val="99"/>
    <w:semiHidden/>
    <w:rsid w:val="000E2568"/>
    <w:rPr>
      <w:rFonts w:eastAsiaTheme="minorHAnsi"/>
      <w:sz w:val="22"/>
      <w:szCs w:val="22"/>
      <w:lang w:val="en-GB"/>
    </w:rPr>
  </w:style>
  <w:style w:type="paragraph" w:styleId="BodyText3">
    <w:name w:val="Body Text 3"/>
    <w:basedOn w:val="Normal"/>
    <w:link w:val="BodyText3Char"/>
    <w:uiPriority w:val="99"/>
    <w:semiHidden/>
    <w:unhideWhenUsed/>
    <w:locked/>
    <w:rsid w:val="000E2568"/>
    <w:pPr>
      <w:spacing w:line="276" w:lineRule="auto"/>
      <w:jc w:val="both"/>
    </w:pPr>
    <w:rPr>
      <w:rFonts w:eastAsiaTheme="minorHAnsi"/>
      <w:sz w:val="16"/>
      <w:szCs w:val="16"/>
    </w:rPr>
  </w:style>
  <w:style w:type="character" w:customStyle="1" w:styleId="BodyText3Char">
    <w:name w:val="Body Text 3 Char"/>
    <w:basedOn w:val="DefaultParagraphFont"/>
    <w:link w:val="BodyText3"/>
    <w:uiPriority w:val="99"/>
    <w:semiHidden/>
    <w:rsid w:val="000E2568"/>
    <w:rPr>
      <w:rFonts w:eastAsiaTheme="minorHAnsi"/>
      <w:sz w:val="16"/>
      <w:szCs w:val="16"/>
      <w:lang w:val="en-GB"/>
    </w:rPr>
  </w:style>
  <w:style w:type="paragraph" w:styleId="BodyTextFirstIndent">
    <w:name w:val="Body Text First Indent"/>
    <w:basedOn w:val="Normal"/>
    <w:link w:val="BodyTextFirstIndentChar"/>
    <w:uiPriority w:val="99"/>
    <w:semiHidden/>
    <w:unhideWhenUsed/>
    <w:locked/>
    <w:rsid w:val="00AE1AFA"/>
    <w:pPr>
      <w:spacing w:after="200" w:line="276" w:lineRule="auto"/>
      <w:ind w:firstLine="360"/>
      <w:jc w:val="both"/>
    </w:pPr>
    <w:rPr>
      <w:rFonts w:eastAsiaTheme="minorHAnsi"/>
      <w:szCs w:val="22"/>
    </w:rPr>
  </w:style>
  <w:style w:type="character" w:customStyle="1" w:styleId="BodyTextFirstIndentChar">
    <w:name w:val="Body Text First Indent Char"/>
    <w:basedOn w:val="DefaultParagraphFont"/>
    <w:link w:val="BodyTextFirstIndent"/>
    <w:uiPriority w:val="99"/>
    <w:semiHidden/>
    <w:rsid w:val="00AE1AFA"/>
    <w:rPr>
      <w:rFonts w:eastAsiaTheme="minorHAnsi"/>
      <w:szCs w:val="22"/>
    </w:rPr>
  </w:style>
  <w:style w:type="paragraph" w:styleId="BodyTextIndent">
    <w:name w:val="Body Text Indent"/>
    <w:basedOn w:val="Normal"/>
    <w:link w:val="BodyTextIndentChar"/>
    <w:uiPriority w:val="99"/>
    <w:semiHidden/>
    <w:unhideWhenUsed/>
    <w:locked/>
    <w:rsid w:val="000E2568"/>
    <w:pPr>
      <w:spacing w:line="276" w:lineRule="auto"/>
      <w:ind w:left="360"/>
      <w:jc w:val="both"/>
    </w:pPr>
    <w:rPr>
      <w:rFonts w:eastAsiaTheme="minorHAnsi"/>
      <w:szCs w:val="22"/>
    </w:rPr>
  </w:style>
  <w:style w:type="character" w:customStyle="1" w:styleId="BodyTextIndentChar">
    <w:name w:val="Body Text Indent Char"/>
    <w:basedOn w:val="DefaultParagraphFont"/>
    <w:link w:val="BodyTextIndent"/>
    <w:uiPriority w:val="99"/>
    <w:semiHidden/>
    <w:rsid w:val="000E2568"/>
    <w:rPr>
      <w:rFonts w:eastAsiaTheme="minorHAnsi"/>
      <w:sz w:val="22"/>
      <w:szCs w:val="22"/>
      <w:lang w:val="en-GB"/>
    </w:rPr>
  </w:style>
  <w:style w:type="paragraph" w:styleId="BodyTextFirstIndent2">
    <w:name w:val="Body Text First Indent 2"/>
    <w:basedOn w:val="BodyTextIndent"/>
    <w:link w:val="BodyTextFirstIndent2Char"/>
    <w:uiPriority w:val="99"/>
    <w:semiHidden/>
    <w:unhideWhenUsed/>
    <w:locked/>
    <w:rsid w:val="000E2568"/>
    <w:pPr>
      <w:spacing w:after="200"/>
      <w:ind w:firstLine="360"/>
    </w:pPr>
  </w:style>
  <w:style w:type="character" w:customStyle="1" w:styleId="BodyTextFirstIndent2Char">
    <w:name w:val="Body Text First Indent 2 Char"/>
    <w:basedOn w:val="BodyTextIndentChar"/>
    <w:link w:val="BodyTextFirstIndent2"/>
    <w:uiPriority w:val="99"/>
    <w:semiHidden/>
    <w:rsid w:val="000E2568"/>
    <w:rPr>
      <w:rFonts w:eastAsiaTheme="minorHAnsi"/>
      <w:sz w:val="22"/>
      <w:szCs w:val="22"/>
      <w:lang w:val="en-GB"/>
    </w:rPr>
  </w:style>
  <w:style w:type="paragraph" w:styleId="BodyTextIndent2">
    <w:name w:val="Body Text Indent 2"/>
    <w:basedOn w:val="Normal"/>
    <w:link w:val="BodyTextIndent2Char"/>
    <w:uiPriority w:val="99"/>
    <w:semiHidden/>
    <w:unhideWhenUsed/>
    <w:locked/>
    <w:rsid w:val="000E2568"/>
    <w:pPr>
      <w:spacing w:line="480" w:lineRule="auto"/>
      <w:ind w:left="360"/>
      <w:jc w:val="both"/>
    </w:pPr>
    <w:rPr>
      <w:rFonts w:eastAsiaTheme="minorHAnsi"/>
      <w:szCs w:val="22"/>
    </w:rPr>
  </w:style>
  <w:style w:type="character" w:customStyle="1" w:styleId="BodyTextIndent2Char">
    <w:name w:val="Body Text Indent 2 Char"/>
    <w:basedOn w:val="DefaultParagraphFont"/>
    <w:link w:val="BodyTextIndent2"/>
    <w:uiPriority w:val="99"/>
    <w:semiHidden/>
    <w:rsid w:val="000E2568"/>
    <w:rPr>
      <w:rFonts w:eastAsiaTheme="minorHAnsi"/>
      <w:sz w:val="22"/>
      <w:szCs w:val="22"/>
      <w:lang w:val="en-GB"/>
    </w:rPr>
  </w:style>
  <w:style w:type="paragraph" w:customStyle="1" w:styleId="Listparagraphlevel2">
    <w:name w:val="List paragraph level 2"/>
    <w:basedOn w:val="ListParagraph"/>
    <w:rsid w:val="000E2568"/>
    <w:pPr>
      <w:numPr>
        <w:numId w:val="0"/>
      </w:numPr>
      <w:ind w:left="1800" w:hanging="360"/>
    </w:pPr>
  </w:style>
  <w:style w:type="paragraph" w:styleId="Closing">
    <w:name w:val="Closing"/>
    <w:basedOn w:val="Normal"/>
    <w:link w:val="ClosingChar"/>
    <w:uiPriority w:val="99"/>
    <w:semiHidden/>
    <w:unhideWhenUsed/>
    <w:locked/>
    <w:rsid w:val="000E2568"/>
    <w:pPr>
      <w:spacing w:after="0" w:line="240" w:lineRule="auto"/>
      <w:ind w:left="4320"/>
      <w:jc w:val="both"/>
    </w:pPr>
    <w:rPr>
      <w:rFonts w:eastAsiaTheme="minorHAnsi"/>
      <w:szCs w:val="22"/>
    </w:rPr>
  </w:style>
  <w:style w:type="character" w:customStyle="1" w:styleId="ClosingChar">
    <w:name w:val="Closing Char"/>
    <w:basedOn w:val="DefaultParagraphFont"/>
    <w:link w:val="Closing"/>
    <w:uiPriority w:val="99"/>
    <w:semiHidden/>
    <w:rsid w:val="000E2568"/>
    <w:rPr>
      <w:rFonts w:eastAsiaTheme="minorHAnsi"/>
      <w:sz w:val="22"/>
      <w:szCs w:val="22"/>
      <w:lang w:val="en-GB"/>
    </w:rPr>
  </w:style>
  <w:style w:type="paragraph" w:styleId="Date">
    <w:name w:val="Date"/>
    <w:basedOn w:val="Normal"/>
    <w:next w:val="Normal"/>
    <w:link w:val="DateChar"/>
    <w:uiPriority w:val="99"/>
    <w:semiHidden/>
    <w:unhideWhenUsed/>
    <w:locked/>
    <w:rsid w:val="000E2568"/>
    <w:pPr>
      <w:spacing w:after="200" w:line="276" w:lineRule="auto"/>
      <w:jc w:val="both"/>
    </w:pPr>
    <w:rPr>
      <w:rFonts w:eastAsiaTheme="minorHAnsi"/>
      <w:szCs w:val="22"/>
    </w:rPr>
  </w:style>
  <w:style w:type="character" w:customStyle="1" w:styleId="DateChar">
    <w:name w:val="Date Char"/>
    <w:basedOn w:val="DefaultParagraphFont"/>
    <w:link w:val="Date"/>
    <w:uiPriority w:val="99"/>
    <w:semiHidden/>
    <w:rsid w:val="000E2568"/>
    <w:rPr>
      <w:rFonts w:eastAsiaTheme="minorHAnsi"/>
      <w:sz w:val="22"/>
      <w:szCs w:val="22"/>
      <w:lang w:val="en-GB"/>
    </w:rPr>
  </w:style>
  <w:style w:type="paragraph" w:styleId="DocumentMap">
    <w:name w:val="Document Map"/>
    <w:basedOn w:val="Normal"/>
    <w:link w:val="DocumentMapChar"/>
    <w:semiHidden/>
    <w:unhideWhenUsed/>
    <w:locked/>
    <w:rsid w:val="000E2568"/>
    <w:pPr>
      <w:spacing w:after="0" w:line="240" w:lineRule="auto"/>
      <w:jc w:val="both"/>
    </w:pPr>
    <w:rPr>
      <w:rFonts w:ascii="Tahoma" w:eastAsiaTheme="minorHAnsi" w:hAnsi="Tahoma" w:cs="Tahoma"/>
      <w:sz w:val="16"/>
      <w:szCs w:val="16"/>
    </w:rPr>
  </w:style>
  <w:style w:type="character" w:customStyle="1" w:styleId="DocumentMapChar">
    <w:name w:val="Document Map Char"/>
    <w:basedOn w:val="DefaultParagraphFont"/>
    <w:link w:val="DocumentMap"/>
    <w:semiHidden/>
    <w:rsid w:val="000E2568"/>
    <w:rPr>
      <w:rFonts w:ascii="Tahoma" w:eastAsiaTheme="minorHAnsi" w:hAnsi="Tahoma" w:cs="Tahoma"/>
      <w:sz w:val="16"/>
      <w:szCs w:val="16"/>
      <w:lang w:val="en-GB"/>
    </w:rPr>
  </w:style>
  <w:style w:type="paragraph" w:styleId="E-mailSignature">
    <w:name w:val="E-mail Signature"/>
    <w:basedOn w:val="Normal"/>
    <w:link w:val="E-mailSignatureChar"/>
    <w:uiPriority w:val="99"/>
    <w:semiHidden/>
    <w:unhideWhenUsed/>
    <w:locked/>
    <w:rsid w:val="000E2568"/>
    <w:pPr>
      <w:spacing w:after="0" w:line="240" w:lineRule="auto"/>
      <w:jc w:val="both"/>
    </w:pPr>
    <w:rPr>
      <w:rFonts w:eastAsiaTheme="minorHAnsi"/>
      <w:szCs w:val="22"/>
    </w:rPr>
  </w:style>
  <w:style w:type="character" w:customStyle="1" w:styleId="E-mailSignatureChar">
    <w:name w:val="E-mail Signature Char"/>
    <w:basedOn w:val="DefaultParagraphFont"/>
    <w:link w:val="E-mailSignature"/>
    <w:uiPriority w:val="99"/>
    <w:semiHidden/>
    <w:rsid w:val="000E2568"/>
    <w:rPr>
      <w:rFonts w:eastAsiaTheme="minorHAnsi"/>
      <w:sz w:val="22"/>
      <w:szCs w:val="22"/>
      <w:lang w:val="en-GB"/>
    </w:rPr>
  </w:style>
  <w:style w:type="paragraph" w:styleId="EndnoteText">
    <w:name w:val="endnote text"/>
    <w:basedOn w:val="Normal"/>
    <w:link w:val="EndnoteTextChar"/>
    <w:uiPriority w:val="99"/>
    <w:semiHidden/>
    <w:unhideWhenUsed/>
    <w:locked/>
    <w:rsid w:val="000E2568"/>
    <w:pPr>
      <w:spacing w:after="0" w:line="240" w:lineRule="auto"/>
      <w:jc w:val="both"/>
    </w:pPr>
    <w:rPr>
      <w:rFonts w:eastAsiaTheme="minorHAnsi"/>
      <w:sz w:val="20"/>
      <w:szCs w:val="20"/>
    </w:rPr>
  </w:style>
  <w:style w:type="character" w:customStyle="1" w:styleId="EndnoteTextChar">
    <w:name w:val="Endnote Text Char"/>
    <w:basedOn w:val="DefaultParagraphFont"/>
    <w:link w:val="EndnoteText"/>
    <w:uiPriority w:val="99"/>
    <w:semiHidden/>
    <w:rsid w:val="000E2568"/>
    <w:rPr>
      <w:rFonts w:eastAsiaTheme="minorHAnsi"/>
      <w:lang w:val="en-GB"/>
    </w:rPr>
  </w:style>
  <w:style w:type="paragraph" w:styleId="EnvelopeAddress">
    <w:name w:val="envelope address"/>
    <w:basedOn w:val="Normal"/>
    <w:uiPriority w:val="99"/>
    <w:semiHidden/>
    <w:unhideWhenUsed/>
    <w:locked/>
    <w:rsid w:val="000E2568"/>
    <w:pPr>
      <w:framePr w:w="7920" w:h="1980" w:hRule="exact" w:hSpace="180" w:wrap="auto" w:hAnchor="page" w:xAlign="center" w:yAlign="bottom"/>
      <w:spacing w:after="0" w:line="240" w:lineRule="auto"/>
      <w:ind w:left="2880"/>
      <w:jc w:val="both"/>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0E2568"/>
    <w:pPr>
      <w:spacing w:after="0" w:line="240" w:lineRule="auto"/>
      <w:jc w:val="both"/>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locked/>
    <w:rsid w:val="000E2568"/>
    <w:pPr>
      <w:spacing w:after="0" w:line="240" w:lineRule="auto"/>
      <w:jc w:val="both"/>
    </w:pPr>
    <w:rPr>
      <w:rFonts w:eastAsiaTheme="minorHAnsi"/>
      <w:i/>
      <w:iCs/>
      <w:szCs w:val="22"/>
    </w:rPr>
  </w:style>
  <w:style w:type="character" w:customStyle="1" w:styleId="HTMLAddressChar">
    <w:name w:val="HTML Address Char"/>
    <w:basedOn w:val="DefaultParagraphFont"/>
    <w:link w:val="HTMLAddress"/>
    <w:uiPriority w:val="99"/>
    <w:semiHidden/>
    <w:rsid w:val="000E2568"/>
    <w:rPr>
      <w:rFonts w:eastAsiaTheme="minorHAnsi"/>
      <w:i/>
      <w:iCs/>
      <w:sz w:val="22"/>
      <w:szCs w:val="22"/>
      <w:lang w:val="en-GB"/>
    </w:rPr>
  </w:style>
  <w:style w:type="paragraph" w:styleId="HTMLPreformatted">
    <w:name w:val="HTML Preformatted"/>
    <w:basedOn w:val="Normal"/>
    <w:link w:val="HTMLPreformattedChar"/>
    <w:uiPriority w:val="99"/>
    <w:semiHidden/>
    <w:unhideWhenUsed/>
    <w:locked/>
    <w:rsid w:val="000E2568"/>
    <w:pPr>
      <w:spacing w:after="0" w:line="240" w:lineRule="auto"/>
      <w:jc w:val="both"/>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0E2568"/>
    <w:rPr>
      <w:rFonts w:ascii="Consolas" w:eastAsiaTheme="minorHAnsi" w:hAnsi="Consolas" w:cs="Consolas"/>
      <w:lang w:val="en-GB"/>
    </w:rPr>
  </w:style>
  <w:style w:type="paragraph" w:styleId="Index1">
    <w:name w:val="index 1"/>
    <w:basedOn w:val="Normal"/>
    <w:next w:val="Normal"/>
    <w:autoRedefine/>
    <w:uiPriority w:val="99"/>
    <w:semiHidden/>
    <w:unhideWhenUsed/>
    <w:locked/>
    <w:rsid w:val="000E2568"/>
    <w:pPr>
      <w:spacing w:after="0" w:line="240" w:lineRule="auto"/>
      <w:ind w:left="220" w:hanging="220"/>
      <w:jc w:val="both"/>
    </w:pPr>
    <w:rPr>
      <w:rFonts w:eastAsiaTheme="minorHAnsi"/>
      <w:szCs w:val="22"/>
    </w:rPr>
  </w:style>
  <w:style w:type="paragraph" w:styleId="Index2">
    <w:name w:val="index 2"/>
    <w:basedOn w:val="Normal"/>
    <w:next w:val="Normal"/>
    <w:autoRedefine/>
    <w:uiPriority w:val="99"/>
    <w:unhideWhenUsed/>
    <w:locked/>
    <w:rsid w:val="000E2568"/>
    <w:pPr>
      <w:spacing w:after="0" w:line="240" w:lineRule="auto"/>
      <w:ind w:left="440" w:hanging="220"/>
      <w:jc w:val="both"/>
    </w:pPr>
    <w:rPr>
      <w:rFonts w:eastAsiaTheme="minorHAnsi"/>
      <w:szCs w:val="22"/>
    </w:rPr>
  </w:style>
  <w:style w:type="paragraph" w:styleId="Index3">
    <w:name w:val="index 3"/>
    <w:basedOn w:val="Normal"/>
    <w:next w:val="Normal"/>
    <w:autoRedefine/>
    <w:uiPriority w:val="99"/>
    <w:unhideWhenUsed/>
    <w:locked/>
    <w:rsid w:val="000E2568"/>
    <w:pPr>
      <w:spacing w:after="0" w:line="240" w:lineRule="auto"/>
      <w:ind w:left="660" w:hanging="220"/>
      <w:jc w:val="both"/>
    </w:pPr>
    <w:rPr>
      <w:rFonts w:eastAsiaTheme="minorHAnsi"/>
      <w:szCs w:val="22"/>
    </w:rPr>
  </w:style>
  <w:style w:type="paragraph" w:styleId="Index4">
    <w:name w:val="index 4"/>
    <w:basedOn w:val="Normal"/>
    <w:next w:val="Normal"/>
    <w:autoRedefine/>
    <w:uiPriority w:val="99"/>
    <w:unhideWhenUsed/>
    <w:locked/>
    <w:rsid w:val="000E2568"/>
    <w:pPr>
      <w:spacing w:after="0" w:line="240" w:lineRule="auto"/>
      <w:ind w:left="880" w:hanging="220"/>
      <w:jc w:val="both"/>
    </w:pPr>
    <w:rPr>
      <w:rFonts w:eastAsiaTheme="minorHAnsi"/>
      <w:szCs w:val="22"/>
    </w:rPr>
  </w:style>
  <w:style w:type="paragraph" w:styleId="Index5">
    <w:name w:val="index 5"/>
    <w:basedOn w:val="Normal"/>
    <w:next w:val="Normal"/>
    <w:autoRedefine/>
    <w:uiPriority w:val="99"/>
    <w:unhideWhenUsed/>
    <w:locked/>
    <w:rsid w:val="000E2568"/>
    <w:pPr>
      <w:spacing w:after="0" w:line="240" w:lineRule="auto"/>
      <w:ind w:left="1100" w:hanging="220"/>
      <w:jc w:val="both"/>
    </w:pPr>
    <w:rPr>
      <w:rFonts w:eastAsiaTheme="minorHAnsi"/>
      <w:szCs w:val="22"/>
    </w:rPr>
  </w:style>
  <w:style w:type="paragraph" w:styleId="Index6">
    <w:name w:val="index 6"/>
    <w:basedOn w:val="Normal"/>
    <w:next w:val="Normal"/>
    <w:autoRedefine/>
    <w:uiPriority w:val="99"/>
    <w:unhideWhenUsed/>
    <w:locked/>
    <w:rsid w:val="000E2568"/>
    <w:pPr>
      <w:spacing w:after="0" w:line="240" w:lineRule="auto"/>
      <w:ind w:left="1320" w:hanging="220"/>
      <w:jc w:val="both"/>
    </w:pPr>
    <w:rPr>
      <w:rFonts w:eastAsiaTheme="minorHAnsi"/>
      <w:szCs w:val="22"/>
    </w:rPr>
  </w:style>
  <w:style w:type="paragraph" w:styleId="Index7">
    <w:name w:val="index 7"/>
    <w:basedOn w:val="Normal"/>
    <w:next w:val="Normal"/>
    <w:autoRedefine/>
    <w:uiPriority w:val="99"/>
    <w:semiHidden/>
    <w:unhideWhenUsed/>
    <w:locked/>
    <w:rsid w:val="000E2568"/>
    <w:pPr>
      <w:spacing w:after="0" w:line="240" w:lineRule="auto"/>
      <w:ind w:left="1540" w:hanging="220"/>
      <w:jc w:val="both"/>
    </w:pPr>
    <w:rPr>
      <w:rFonts w:eastAsiaTheme="minorHAnsi"/>
      <w:szCs w:val="22"/>
    </w:rPr>
  </w:style>
  <w:style w:type="paragraph" w:styleId="Index8">
    <w:name w:val="index 8"/>
    <w:basedOn w:val="Normal"/>
    <w:next w:val="Normal"/>
    <w:autoRedefine/>
    <w:uiPriority w:val="99"/>
    <w:semiHidden/>
    <w:unhideWhenUsed/>
    <w:locked/>
    <w:rsid w:val="000E2568"/>
    <w:pPr>
      <w:spacing w:after="0" w:line="240" w:lineRule="auto"/>
      <w:ind w:left="1760" w:hanging="220"/>
      <w:jc w:val="both"/>
    </w:pPr>
    <w:rPr>
      <w:rFonts w:eastAsiaTheme="minorHAnsi"/>
      <w:szCs w:val="22"/>
    </w:rPr>
  </w:style>
  <w:style w:type="paragraph" w:styleId="Index9">
    <w:name w:val="index 9"/>
    <w:basedOn w:val="Normal"/>
    <w:next w:val="Normal"/>
    <w:autoRedefine/>
    <w:uiPriority w:val="99"/>
    <w:semiHidden/>
    <w:unhideWhenUsed/>
    <w:locked/>
    <w:rsid w:val="000E2568"/>
    <w:pPr>
      <w:spacing w:after="0" w:line="240" w:lineRule="auto"/>
      <w:ind w:left="1980" w:hanging="220"/>
      <w:jc w:val="both"/>
    </w:pPr>
    <w:rPr>
      <w:rFonts w:eastAsiaTheme="minorHAnsi"/>
      <w:szCs w:val="22"/>
    </w:rPr>
  </w:style>
  <w:style w:type="paragraph" w:styleId="IndexHeading">
    <w:name w:val="index heading"/>
    <w:basedOn w:val="Normal"/>
    <w:next w:val="Index1"/>
    <w:uiPriority w:val="99"/>
    <w:semiHidden/>
    <w:unhideWhenUsed/>
    <w:locked/>
    <w:rsid w:val="000E2568"/>
    <w:pPr>
      <w:spacing w:after="200" w:line="276" w:lineRule="auto"/>
      <w:jc w:val="both"/>
    </w:pPr>
    <w:rPr>
      <w:rFonts w:asciiTheme="majorHAnsi" w:eastAsiaTheme="majorEastAsia" w:hAnsiTheme="majorHAnsi" w:cstheme="majorBidi"/>
      <w:b/>
      <w:bCs/>
      <w:szCs w:val="22"/>
    </w:rPr>
  </w:style>
  <w:style w:type="paragraph" w:styleId="IntenseQuote">
    <w:name w:val="Intense Quote"/>
    <w:basedOn w:val="Normal"/>
    <w:next w:val="Normal"/>
    <w:link w:val="IntenseQuoteChar"/>
    <w:uiPriority w:val="30"/>
    <w:rsid w:val="000E2568"/>
    <w:pPr>
      <w:pBdr>
        <w:bottom w:val="single" w:sz="4" w:space="4" w:color="009C4C" w:themeColor="accent1"/>
      </w:pBdr>
      <w:spacing w:before="200" w:after="280" w:line="276" w:lineRule="auto"/>
      <w:ind w:left="936" w:right="936"/>
      <w:jc w:val="both"/>
    </w:pPr>
    <w:rPr>
      <w:rFonts w:eastAsiaTheme="minorHAnsi"/>
      <w:b/>
      <w:bCs/>
      <w:i/>
      <w:iCs/>
      <w:color w:val="009C4C" w:themeColor="accent1"/>
      <w:szCs w:val="22"/>
    </w:rPr>
  </w:style>
  <w:style w:type="character" w:customStyle="1" w:styleId="IntenseQuoteChar">
    <w:name w:val="Intense Quote Char"/>
    <w:basedOn w:val="DefaultParagraphFont"/>
    <w:link w:val="IntenseQuote"/>
    <w:uiPriority w:val="30"/>
    <w:rsid w:val="000E2568"/>
    <w:rPr>
      <w:rFonts w:eastAsiaTheme="minorHAnsi"/>
      <w:b/>
      <w:bCs/>
      <w:i/>
      <w:iCs/>
      <w:color w:val="009C4C" w:themeColor="accent1"/>
      <w:sz w:val="22"/>
      <w:szCs w:val="22"/>
      <w:lang w:val="en-GB"/>
    </w:rPr>
  </w:style>
  <w:style w:type="paragraph" w:styleId="List">
    <w:name w:val="List"/>
    <w:basedOn w:val="Normal"/>
    <w:uiPriority w:val="99"/>
    <w:semiHidden/>
    <w:unhideWhenUsed/>
    <w:locked/>
    <w:rsid w:val="000E2568"/>
    <w:pPr>
      <w:spacing w:after="200" w:line="276" w:lineRule="auto"/>
      <w:ind w:left="360" w:hanging="360"/>
      <w:contextualSpacing/>
      <w:jc w:val="both"/>
    </w:pPr>
    <w:rPr>
      <w:rFonts w:eastAsiaTheme="minorHAnsi"/>
      <w:szCs w:val="22"/>
    </w:rPr>
  </w:style>
  <w:style w:type="paragraph" w:styleId="List2">
    <w:name w:val="List 2"/>
    <w:basedOn w:val="Normal"/>
    <w:uiPriority w:val="99"/>
    <w:semiHidden/>
    <w:unhideWhenUsed/>
    <w:locked/>
    <w:rsid w:val="000E2568"/>
    <w:pPr>
      <w:spacing w:after="200" w:line="276" w:lineRule="auto"/>
      <w:ind w:left="720" w:hanging="360"/>
      <w:contextualSpacing/>
      <w:jc w:val="both"/>
    </w:pPr>
    <w:rPr>
      <w:rFonts w:eastAsiaTheme="minorHAnsi"/>
      <w:szCs w:val="22"/>
    </w:rPr>
  </w:style>
  <w:style w:type="paragraph" w:styleId="List3">
    <w:name w:val="List 3"/>
    <w:basedOn w:val="Normal"/>
    <w:uiPriority w:val="99"/>
    <w:semiHidden/>
    <w:unhideWhenUsed/>
    <w:locked/>
    <w:rsid w:val="000E2568"/>
    <w:pPr>
      <w:spacing w:after="200" w:line="276" w:lineRule="auto"/>
      <w:ind w:left="1080" w:hanging="360"/>
      <w:contextualSpacing/>
      <w:jc w:val="both"/>
    </w:pPr>
    <w:rPr>
      <w:rFonts w:eastAsiaTheme="minorHAnsi"/>
      <w:szCs w:val="22"/>
    </w:rPr>
  </w:style>
  <w:style w:type="paragraph" w:styleId="ListBullet">
    <w:name w:val="List Bullet"/>
    <w:basedOn w:val="Normal"/>
    <w:uiPriority w:val="99"/>
    <w:semiHidden/>
    <w:unhideWhenUsed/>
    <w:locked/>
    <w:rsid w:val="000E2568"/>
    <w:pPr>
      <w:tabs>
        <w:tab w:val="num" w:pos="360"/>
      </w:tabs>
      <w:spacing w:after="200" w:line="276" w:lineRule="auto"/>
      <w:ind w:left="360" w:hanging="360"/>
      <w:contextualSpacing/>
      <w:jc w:val="both"/>
    </w:pPr>
    <w:rPr>
      <w:rFonts w:eastAsiaTheme="minorHAnsi"/>
      <w:szCs w:val="22"/>
    </w:rPr>
  </w:style>
  <w:style w:type="paragraph" w:styleId="ListContinue">
    <w:name w:val="List Continue"/>
    <w:basedOn w:val="Normal"/>
    <w:uiPriority w:val="99"/>
    <w:semiHidden/>
    <w:unhideWhenUsed/>
    <w:locked/>
    <w:rsid w:val="000E2568"/>
    <w:pPr>
      <w:spacing w:line="276" w:lineRule="auto"/>
      <w:ind w:left="360"/>
      <w:contextualSpacing/>
      <w:jc w:val="both"/>
    </w:pPr>
    <w:rPr>
      <w:rFonts w:eastAsiaTheme="minorHAnsi"/>
      <w:szCs w:val="22"/>
    </w:rPr>
  </w:style>
  <w:style w:type="paragraph" w:styleId="ListContinue2">
    <w:name w:val="List Continue 2"/>
    <w:basedOn w:val="Normal"/>
    <w:uiPriority w:val="99"/>
    <w:semiHidden/>
    <w:unhideWhenUsed/>
    <w:locked/>
    <w:rsid w:val="000E2568"/>
    <w:pPr>
      <w:spacing w:line="276" w:lineRule="auto"/>
      <w:ind w:left="720"/>
      <w:contextualSpacing/>
      <w:jc w:val="both"/>
    </w:pPr>
    <w:rPr>
      <w:rFonts w:eastAsiaTheme="minorHAnsi"/>
      <w:szCs w:val="22"/>
    </w:rPr>
  </w:style>
  <w:style w:type="paragraph" w:styleId="ListContinue3">
    <w:name w:val="List Continue 3"/>
    <w:basedOn w:val="Normal"/>
    <w:uiPriority w:val="99"/>
    <w:semiHidden/>
    <w:unhideWhenUsed/>
    <w:locked/>
    <w:rsid w:val="000E2568"/>
    <w:pPr>
      <w:spacing w:line="276" w:lineRule="auto"/>
      <w:ind w:left="1080"/>
      <w:contextualSpacing/>
      <w:jc w:val="both"/>
    </w:pPr>
    <w:rPr>
      <w:rFonts w:eastAsiaTheme="minorHAnsi"/>
      <w:szCs w:val="22"/>
    </w:rPr>
  </w:style>
  <w:style w:type="paragraph" w:styleId="ListContinue4">
    <w:name w:val="List Continue 4"/>
    <w:basedOn w:val="Normal"/>
    <w:uiPriority w:val="99"/>
    <w:semiHidden/>
    <w:unhideWhenUsed/>
    <w:locked/>
    <w:rsid w:val="000E2568"/>
    <w:pPr>
      <w:spacing w:line="276" w:lineRule="auto"/>
      <w:ind w:left="1440"/>
      <w:contextualSpacing/>
      <w:jc w:val="both"/>
    </w:pPr>
    <w:rPr>
      <w:rFonts w:eastAsiaTheme="minorHAnsi"/>
      <w:szCs w:val="22"/>
    </w:rPr>
  </w:style>
  <w:style w:type="paragraph" w:styleId="ListContinue5">
    <w:name w:val="List Continue 5"/>
    <w:basedOn w:val="Normal"/>
    <w:uiPriority w:val="99"/>
    <w:semiHidden/>
    <w:unhideWhenUsed/>
    <w:locked/>
    <w:rsid w:val="000E2568"/>
    <w:pPr>
      <w:spacing w:line="276" w:lineRule="auto"/>
      <w:ind w:left="1800"/>
      <w:contextualSpacing/>
      <w:jc w:val="both"/>
    </w:pPr>
    <w:rPr>
      <w:rFonts w:eastAsiaTheme="minorHAnsi"/>
      <w:szCs w:val="22"/>
    </w:rPr>
  </w:style>
  <w:style w:type="paragraph" w:styleId="MacroText">
    <w:name w:val="macro"/>
    <w:link w:val="MacroTextChar"/>
    <w:uiPriority w:val="99"/>
    <w:semiHidden/>
    <w:unhideWhenUsed/>
    <w:locked/>
    <w:rsid w:val="000E256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lang w:val="en-GB"/>
    </w:rPr>
  </w:style>
  <w:style w:type="character" w:customStyle="1" w:styleId="MacroTextChar">
    <w:name w:val="Macro Text Char"/>
    <w:basedOn w:val="DefaultParagraphFont"/>
    <w:link w:val="MacroText"/>
    <w:uiPriority w:val="99"/>
    <w:semiHidden/>
    <w:rsid w:val="000E2568"/>
    <w:rPr>
      <w:rFonts w:ascii="Consolas" w:eastAsiaTheme="minorHAnsi" w:hAnsi="Consolas" w:cs="Consolas"/>
      <w:lang w:val="en-GB"/>
    </w:rPr>
  </w:style>
  <w:style w:type="paragraph" w:styleId="MessageHeader">
    <w:name w:val="Message Header"/>
    <w:basedOn w:val="Normal"/>
    <w:link w:val="MessageHeaderChar"/>
    <w:uiPriority w:val="99"/>
    <w:semiHidden/>
    <w:unhideWhenUsed/>
    <w:locked/>
    <w:rsid w:val="000E256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E2568"/>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locked/>
    <w:rsid w:val="000E2568"/>
    <w:pPr>
      <w:spacing w:after="200" w:line="276" w:lineRule="auto"/>
      <w:ind w:left="720"/>
      <w:jc w:val="both"/>
    </w:pPr>
    <w:rPr>
      <w:rFonts w:eastAsiaTheme="minorHAnsi"/>
      <w:szCs w:val="22"/>
    </w:rPr>
  </w:style>
  <w:style w:type="paragraph" w:styleId="NoteHeading">
    <w:name w:val="Note Heading"/>
    <w:basedOn w:val="Normal"/>
    <w:next w:val="Normal"/>
    <w:link w:val="NoteHeadingChar"/>
    <w:uiPriority w:val="99"/>
    <w:semiHidden/>
    <w:unhideWhenUsed/>
    <w:locked/>
    <w:rsid w:val="000E2568"/>
    <w:pPr>
      <w:spacing w:after="0" w:line="240" w:lineRule="auto"/>
      <w:jc w:val="both"/>
    </w:pPr>
    <w:rPr>
      <w:rFonts w:eastAsiaTheme="minorHAnsi"/>
      <w:szCs w:val="22"/>
    </w:rPr>
  </w:style>
  <w:style w:type="character" w:customStyle="1" w:styleId="NoteHeadingChar">
    <w:name w:val="Note Heading Char"/>
    <w:basedOn w:val="DefaultParagraphFont"/>
    <w:link w:val="NoteHeading"/>
    <w:uiPriority w:val="99"/>
    <w:semiHidden/>
    <w:rsid w:val="000E2568"/>
    <w:rPr>
      <w:rFonts w:eastAsiaTheme="minorHAnsi"/>
      <w:sz w:val="22"/>
      <w:szCs w:val="22"/>
      <w:lang w:val="en-GB"/>
    </w:rPr>
  </w:style>
  <w:style w:type="paragraph" w:styleId="PlainText">
    <w:name w:val="Plain Text"/>
    <w:basedOn w:val="Normal"/>
    <w:link w:val="PlainTextChar"/>
    <w:uiPriority w:val="99"/>
    <w:semiHidden/>
    <w:unhideWhenUsed/>
    <w:locked/>
    <w:rsid w:val="000E2568"/>
    <w:pPr>
      <w:spacing w:after="0" w:line="240" w:lineRule="auto"/>
      <w:jc w:val="both"/>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E2568"/>
    <w:rPr>
      <w:rFonts w:ascii="Consolas" w:eastAsiaTheme="minorHAnsi" w:hAnsi="Consolas" w:cs="Consolas"/>
      <w:sz w:val="21"/>
      <w:szCs w:val="21"/>
      <w:lang w:val="en-GB"/>
    </w:rPr>
  </w:style>
  <w:style w:type="paragraph" w:styleId="Salutation">
    <w:name w:val="Salutation"/>
    <w:basedOn w:val="Normal"/>
    <w:next w:val="Normal"/>
    <w:link w:val="SalutationChar"/>
    <w:uiPriority w:val="99"/>
    <w:semiHidden/>
    <w:unhideWhenUsed/>
    <w:locked/>
    <w:rsid w:val="000E2568"/>
    <w:pPr>
      <w:spacing w:after="200" w:line="276" w:lineRule="auto"/>
      <w:jc w:val="both"/>
    </w:pPr>
    <w:rPr>
      <w:rFonts w:eastAsiaTheme="minorHAnsi"/>
      <w:szCs w:val="22"/>
    </w:rPr>
  </w:style>
  <w:style w:type="character" w:customStyle="1" w:styleId="SalutationChar">
    <w:name w:val="Salutation Char"/>
    <w:basedOn w:val="DefaultParagraphFont"/>
    <w:link w:val="Salutation"/>
    <w:uiPriority w:val="99"/>
    <w:semiHidden/>
    <w:rsid w:val="000E2568"/>
    <w:rPr>
      <w:rFonts w:eastAsiaTheme="minorHAnsi"/>
      <w:sz w:val="22"/>
      <w:szCs w:val="22"/>
      <w:lang w:val="en-GB"/>
    </w:rPr>
  </w:style>
  <w:style w:type="paragraph" w:styleId="Signature">
    <w:name w:val="Signature"/>
    <w:basedOn w:val="Normal"/>
    <w:link w:val="SignatureChar"/>
    <w:uiPriority w:val="99"/>
    <w:semiHidden/>
    <w:unhideWhenUsed/>
    <w:locked/>
    <w:rsid w:val="000E2568"/>
    <w:pPr>
      <w:spacing w:after="0" w:line="240" w:lineRule="auto"/>
      <w:ind w:left="4320"/>
      <w:jc w:val="both"/>
    </w:pPr>
    <w:rPr>
      <w:rFonts w:eastAsiaTheme="minorHAnsi"/>
      <w:szCs w:val="22"/>
    </w:rPr>
  </w:style>
  <w:style w:type="character" w:customStyle="1" w:styleId="SignatureChar">
    <w:name w:val="Signature Char"/>
    <w:basedOn w:val="DefaultParagraphFont"/>
    <w:link w:val="Signature"/>
    <w:uiPriority w:val="99"/>
    <w:semiHidden/>
    <w:rsid w:val="000E2568"/>
    <w:rPr>
      <w:rFonts w:eastAsiaTheme="minorHAnsi"/>
      <w:sz w:val="22"/>
      <w:szCs w:val="22"/>
      <w:lang w:val="en-GB"/>
    </w:rPr>
  </w:style>
  <w:style w:type="paragraph" w:styleId="TableofAuthorities">
    <w:name w:val="table of authorities"/>
    <w:basedOn w:val="Normal"/>
    <w:next w:val="Normal"/>
    <w:uiPriority w:val="99"/>
    <w:semiHidden/>
    <w:unhideWhenUsed/>
    <w:locked/>
    <w:rsid w:val="000E2568"/>
    <w:pPr>
      <w:spacing w:after="0" w:line="276" w:lineRule="auto"/>
      <w:ind w:left="220" w:hanging="220"/>
      <w:jc w:val="both"/>
    </w:pPr>
    <w:rPr>
      <w:rFonts w:eastAsiaTheme="minorHAnsi"/>
      <w:szCs w:val="22"/>
    </w:rPr>
  </w:style>
  <w:style w:type="paragraph" w:styleId="TOAHeading">
    <w:name w:val="toa heading"/>
    <w:basedOn w:val="Normal"/>
    <w:next w:val="Normal"/>
    <w:uiPriority w:val="99"/>
    <w:semiHidden/>
    <w:unhideWhenUsed/>
    <w:locked/>
    <w:rsid w:val="000E2568"/>
    <w:pPr>
      <w:spacing w:before="120" w:after="200" w:line="276" w:lineRule="auto"/>
      <w:jc w:val="both"/>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0E2568"/>
    <w:pPr>
      <w:keepNext/>
      <w:keepLines/>
      <w:numPr>
        <w:numId w:val="0"/>
      </w:numPr>
      <w:spacing w:before="240" w:line="300" w:lineRule="atLeast"/>
      <w:outlineLvl w:val="9"/>
    </w:pPr>
    <w:rPr>
      <w:rFonts w:asciiTheme="majorHAnsi" w:eastAsiaTheme="majorEastAsia" w:hAnsiTheme="majorHAnsi" w:cstheme="majorBidi"/>
      <w:b w:val="0"/>
      <w:color w:val="007438" w:themeColor="accent1" w:themeShade="BF"/>
      <w:sz w:val="32"/>
      <w:szCs w:val="32"/>
      <w:lang w:eastAsia="en-US"/>
    </w:rPr>
  </w:style>
  <w:style w:type="table" w:customStyle="1" w:styleId="TableGrid1">
    <w:name w:val="Table Grid1"/>
    <w:basedOn w:val="TableNormal"/>
    <w:next w:val="TableGrid"/>
    <w:uiPriority w:val="59"/>
    <w:rsid w:val="000E25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Pr>
  </w:style>
  <w:style w:type="table" w:customStyle="1" w:styleId="GridTable6Colorful1">
    <w:name w:val="Grid Table 6 Colorful1"/>
    <w:basedOn w:val="TableNormal"/>
    <w:uiPriority w:val="51"/>
    <w:rsid w:val="000E2568"/>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99"/>
    <w:rsid w:val="000E2568"/>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1">
    <w:name w:val="Grid Table 41"/>
    <w:basedOn w:val="TableNormal"/>
    <w:uiPriority w:val="49"/>
    <w:rsid w:val="000E2568"/>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TDPtable1">
    <w:name w:val="ITDP table1"/>
    <w:basedOn w:val="TableNormal"/>
    <w:uiPriority w:val="99"/>
    <w:rsid w:val="000E2568"/>
    <w:tblPr>
      <w:tblStyleRowBandSize w:val="1"/>
      <w:tblStyleColBandSize w:val="1"/>
      <w:tblCellMar>
        <w:top w:w="58" w:type="dxa"/>
        <w:left w:w="115" w:type="dxa"/>
        <w:bottom w:w="58" w:type="dxa"/>
        <w:right w:w="115" w:type="dxa"/>
      </w:tblCellMar>
    </w:tblPr>
    <w:tcPr>
      <w:vAlign w:val="center"/>
    </w:tcPr>
    <w:tblStylePr w:type="firstRow">
      <w:pPr>
        <w:jc w:val="left"/>
      </w:pPr>
      <w:rPr>
        <w:b/>
        <w:color w:val="FFFFFF" w:themeColor="background1"/>
      </w:rPr>
      <w:tblPr/>
      <w:tcPr>
        <w:shd w:val="clear" w:color="auto" w:fill="A6A6A6" w:themeFill="background1" w:themeFillShade="A6"/>
        <w:vAlign w:val="bottom"/>
      </w:tcPr>
    </w:tblStylePr>
    <w:tblStylePr w:type="band1Vert">
      <w:pPr>
        <w:jc w:val="left"/>
      </w:pPr>
      <w:tblPr/>
      <w:tcPr>
        <w:vAlign w:val="center"/>
      </w:tcPr>
    </w:tblStylePr>
    <w:tblStylePr w:type="band1Horz">
      <w:tblPr/>
      <w:tcPr>
        <w:shd w:val="clear" w:color="auto" w:fill="F3F3F3"/>
      </w:tcPr>
    </w:tblStylePr>
    <w:tblStylePr w:type="band2Horz">
      <w:pPr>
        <w:jc w:val="left"/>
      </w:pPr>
      <w:tblPr/>
      <w:tcPr>
        <w:shd w:val="clear" w:color="auto" w:fill="E6E6E6"/>
        <w:vAlign w:val="center"/>
      </w:tcPr>
    </w:tblStylePr>
  </w:style>
  <w:style w:type="table" w:styleId="TableGridLight">
    <w:name w:val="Grid Table Light"/>
    <w:basedOn w:val="TableNormal"/>
    <w:uiPriority w:val="40"/>
    <w:rsid w:val="000E25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
    <w:name w:val="Grid Table 5 Dark"/>
    <w:basedOn w:val="TableNormal"/>
    <w:uiPriority w:val="50"/>
    <w:rsid w:val="000E25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3">
    <w:name w:val="Plain Table 3"/>
    <w:basedOn w:val="TableNormal"/>
    <w:uiPriority w:val="43"/>
    <w:rsid w:val="000E25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0E2568"/>
    <w:pPr>
      <w:autoSpaceDE w:val="0"/>
      <w:autoSpaceDN w:val="0"/>
      <w:adjustRightInd w:val="0"/>
    </w:pPr>
    <w:rPr>
      <w:rFonts w:ascii="Calibri" w:eastAsiaTheme="minorEastAsia" w:hAnsi="Calibri" w:cs="Calibri"/>
      <w:color w:val="000000"/>
      <w:sz w:val="24"/>
      <w:szCs w:val="24"/>
    </w:rPr>
  </w:style>
  <w:style w:type="paragraph" w:styleId="NoSpacing">
    <w:name w:val="No Spacing"/>
    <w:uiPriority w:val="1"/>
    <w:rsid w:val="000E2568"/>
    <w:rPr>
      <w:sz w:val="22"/>
      <w:szCs w:val="24"/>
      <w:lang w:val="en-GB"/>
    </w:rPr>
  </w:style>
  <w:style w:type="paragraph" w:customStyle="1" w:styleId="Boxheader">
    <w:name w:val="Box header"/>
    <w:basedOn w:val="Normal"/>
    <w:rsid w:val="000E2568"/>
    <w:rPr>
      <w:rFonts w:ascii="Trebuchet MS" w:hAnsi="Trebuchet MS"/>
      <w:bCs/>
      <w:i/>
      <w:sz w:val="24"/>
    </w:rPr>
  </w:style>
  <w:style w:type="table" w:styleId="GridTable4-Accent6">
    <w:name w:val="Grid Table 4 Accent 6"/>
    <w:basedOn w:val="TableNormal"/>
    <w:uiPriority w:val="49"/>
    <w:rsid w:val="000E2568"/>
    <w:tblPr>
      <w:tblStyleRowBandSize w:val="1"/>
      <w:tblStyleColBandSize w:val="1"/>
      <w:tblBorders>
        <w:top w:val="single" w:sz="4" w:space="0" w:color="A0BCD8" w:themeColor="accent6" w:themeTint="99"/>
        <w:left w:val="single" w:sz="4" w:space="0" w:color="A0BCD8" w:themeColor="accent6" w:themeTint="99"/>
        <w:bottom w:val="single" w:sz="4" w:space="0" w:color="A0BCD8" w:themeColor="accent6" w:themeTint="99"/>
        <w:right w:val="single" w:sz="4" w:space="0" w:color="A0BCD8" w:themeColor="accent6" w:themeTint="99"/>
        <w:insideH w:val="single" w:sz="4" w:space="0" w:color="A0BCD8" w:themeColor="accent6" w:themeTint="99"/>
        <w:insideV w:val="single" w:sz="4" w:space="0" w:color="A0BCD8" w:themeColor="accent6" w:themeTint="99"/>
      </w:tblBorders>
    </w:tblPr>
    <w:tblStylePr w:type="firstRow">
      <w:rPr>
        <w:b/>
        <w:bCs/>
        <w:color w:val="FFFFFF" w:themeColor="background1"/>
      </w:rPr>
      <w:tblPr/>
      <w:tcPr>
        <w:tcBorders>
          <w:top w:val="single" w:sz="4" w:space="0" w:color="6191BF" w:themeColor="accent6"/>
          <w:left w:val="single" w:sz="4" w:space="0" w:color="6191BF" w:themeColor="accent6"/>
          <w:bottom w:val="single" w:sz="4" w:space="0" w:color="6191BF" w:themeColor="accent6"/>
          <w:right w:val="single" w:sz="4" w:space="0" w:color="6191BF" w:themeColor="accent6"/>
          <w:insideH w:val="nil"/>
          <w:insideV w:val="nil"/>
        </w:tcBorders>
        <w:shd w:val="clear" w:color="auto" w:fill="6191BF" w:themeFill="accent6"/>
      </w:tcPr>
    </w:tblStylePr>
    <w:tblStylePr w:type="lastRow">
      <w:rPr>
        <w:b/>
        <w:bCs/>
      </w:rPr>
      <w:tblPr/>
      <w:tcPr>
        <w:tcBorders>
          <w:top w:val="double" w:sz="4" w:space="0" w:color="6191BF" w:themeColor="accent6"/>
        </w:tcBorders>
      </w:tcPr>
    </w:tblStylePr>
    <w:tblStylePr w:type="firstCol">
      <w:rPr>
        <w:b/>
        <w:bCs/>
      </w:rPr>
    </w:tblStylePr>
    <w:tblStylePr w:type="lastCol">
      <w:rPr>
        <w:b/>
        <w:bCs/>
      </w:rPr>
    </w:tblStylePr>
    <w:tblStylePr w:type="band1Vert">
      <w:tblPr/>
      <w:tcPr>
        <w:shd w:val="clear" w:color="auto" w:fill="DFE8F2" w:themeFill="accent6" w:themeFillTint="33"/>
      </w:tcPr>
    </w:tblStylePr>
    <w:tblStylePr w:type="band1Horz">
      <w:tblPr/>
      <w:tcPr>
        <w:shd w:val="clear" w:color="auto" w:fill="DFE8F2" w:themeFill="accent6" w:themeFillTint="33"/>
      </w:tcPr>
    </w:tblStylePr>
  </w:style>
  <w:style w:type="character" w:styleId="EndnoteReference">
    <w:name w:val="endnote reference"/>
    <w:basedOn w:val="DefaultParagraphFont"/>
    <w:semiHidden/>
    <w:unhideWhenUsed/>
    <w:locked/>
    <w:rsid w:val="000E2568"/>
    <w:rPr>
      <w:vertAlign w:val="superscript"/>
    </w:rPr>
  </w:style>
  <w:style w:type="table" w:styleId="GridTable5Dark-Accent2">
    <w:name w:val="Grid Table 5 Dark Accent 2"/>
    <w:basedOn w:val="TableNormal"/>
    <w:uiPriority w:val="50"/>
    <w:rsid w:val="000E25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3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C55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C55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C55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C55F" w:themeFill="accent2"/>
      </w:tcPr>
    </w:tblStylePr>
    <w:tblStylePr w:type="band1Vert">
      <w:tblPr/>
      <w:tcPr>
        <w:shd w:val="clear" w:color="auto" w:fill="FCE7BE" w:themeFill="accent2" w:themeFillTint="66"/>
      </w:tcPr>
    </w:tblStylePr>
    <w:tblStylePr w:type="band1Horz">
      <w:tblPr/>
      <w:tcPr>
        <w:shd w:val="clear" w:color="auto" w:fill="FCE7BE" w:themeFill="accent2" w:themeFillTint="66"/>
      </w:tcPr>
    </w:tblStylePr>
  </w:style>
  <w:style w:type="table" w:styleId="GridTable5Dark-Accent6">
    <w:name w:val="Grid Table 5 Dark Accent 6"/>
    <w:basedOn w:val="TableNormal"/>
    <w:uiPriority w:val="50"/>
    <w:rsid w:val="000E25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8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1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1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1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1BF" w:themeFill="accent6"/>
      </w:tcPr>
    </w:tblStylePr>
    <w:tblStylePr w:type="band1Vert">
      <w:tblPr/>
      <w:tcPr>
        <w:shd w:val="clear" w:color="auto" w:fill="BFD2E5" w:themeFill="accent6" w:themeFillTint="66"/>
      </w:tcPr>
    </w:tblStylePr>
    <w:tblStylePr w:type="band1Horz">
      <w:tblPr/>
      <w:tcPr>
        <w:shd w:val="clear" w:color="auto" w:fill="BFD2E5" w:themeFill="accent6" w:themeFillTint="66"/>
      </w:tcPr>
    </w:tblStylePr>
  </w:style>
  <w:style w:type="character" w:styleId="FollowedHyperlink">
    <w:name w:val="FollowedHyperlink"/>
    <w:basedOn w:val="DefaultParagraphFont"/>
    <w:uiPriority w:val="99"/>
    <w:unhideWhenUsed/>
    <w:locked/>
    <w:rsid w:val="000E2568"/>
    <w:rPr>
      <w:color w:val="954F72"/>
      <w:u w:val="single"/>
    </w:rPr>
  </w:style>
  <w:style w:type="character" w:customStyle="1" w:styleId="Bold">
    <w:name w:val="Bold"/>
    <w:uiPriority w:val="99"/>
    <w:rsid w:val="00212E75"/>
    <w:rPr>
      <w:rFonts w:ascii="Times New Roman" w:hAnsi="Times New Roman" w:cs="Times New Roman"/>
      <w:b/>
      <w:bCs/>
    </w:rPr>
  </w:style>
  <w:style w:type="paragraph" w:customStyle="1" w:styleId="Bodybullets1">
    <w:name w:val="Body bullets 1"/>
    <w:basedOn w:val="Body"/>
    <w:uiPriority w:val="99"/>
    <w:rsid w:val="00C01F52"/>
    <w:pPr>
      <w:ind w:left="170" w:hanging="170"/>
    </w:pPr>
    <w:rPr>
      <w:sz w:val="20"/>
      <w:szCs w:val="20"/>
    </w:rPr>
  </w:style>
  <w:style w:type="paragraph" w:customStyle="1" w:styleId="Footnote">
    <w:name w:val="Footnote"/>
    <w:basedOn w:val="Body"/>
    <w:uiPriority w:val="99"/>
    <w:rsid w:val="006310C7"/>
    <w:pPr>
      <w:spacing w:line="288" w:lineRule="auto"/>
      <w:ind w:left="227" w:hanging="227"/>
    </w:pPr>
    <w:rPr>
      <w:sz w:val="14"/>
      <w:szCs w:val="14"/>
    </w:rPr>
  </w:style>
  <w:style w:type="paragraph" w:customStyle="1" w:styleId="Bodybullets1-Table">
    <w:name w:val="Body bullets 1 - Table"/>
    <w:basedOn w:val="Body"/>
    <w:uiPriority w:val="99"/>
    <w:rsid w:val="007A73F5"/>
    <w:pPr>
      <w:suppressAutoHyphens/>
      <w:spacing w:after="0"/>
      <w:ind w:left="170" w:hanging="170"/>
      <w:jc w:val="left"/>
    </w:pPr>
    <w:rPr>
      <w:rFonts w:ascii="Franklin Gothic Book" w:hAnsi="Franklin Gothic Book" w:cs="Franklin Gothic Book"/>
      <w:sz w:val="20"/>
      <w:szCs w:val="20"/>
    </w:rPr>
  </w:style>
  <w:style w:type="table" w:customStyle="1" w:styleId="TableGrid2">
    <w:name w:val="Table Grid2"/>
    <w:basedOn w:val="TableNormal"/>
    <w:next w:val="TableGrid"/>
    <w:uiPriority w:val="39"/>
    <w:rsid w:val="0079339F"/>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C28F3"/>
    <w:rPr>
      <w:sz w:val="22"/>
      <w:szCs w:val="24"/>
      <w:lang w:val="en-GB"/>
    </w:rPr>
  </w:style>
  <w:style w:type="character" w:customStyle="1" w:styleId="apple-converted-space">
    <w:name w:val="apple-converted-space"/>
    <w:basedOn w:val="DefaultParagraphFont"/>
    <w:rsid w:val="0062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665">
      <w:bodyDiv w:val="1"/>
      <w:marLeft w:val="0"/>
      <w:marRight w:val="0"/>
      <w:marTop w:val="0"/>
      <w:marBottom w:val="0"/>
      <w:divBdr>
        <w:top w:val="none" w:sz="0" w:space="0" w:color="auto"/>
        <w:left w:val="none" w:sz="0" w:space="0" w:color="auto"/>
        <w:bottom w:val="none" w:sz="0" w:space="0" w:color="auto"/>
        <w:right w:val="none" w:sz="0" w:space="0" w:color="auto"/>
      </w:divBdr>
      <w:divsChild>
        <w:div w:id="1812167842">
          <w:marLeft w:val="0"/>
          <w:marRight w:val="0"/>
          <w:marTop w:val="0"/>
          <w:marBottom w:val="0"/>
          <w:divBdr>
            <w:top w:val="none" w:sz="0" w:space="0" w:color="auto"/>
            <w:left w:val="none" w:sz="0" w:space="0" w:color="auto"/>
            <w:bottom w:val="none" w:sz="0" w:space="0" w:color="auto"/>
            <w:right w:val="none" w:sz="0" w:space="0" w:color="auto"/>
          </w:divBdr>
          <w:divsChild>
            <w:div w:id="373312610">
              <w:marLeft w:val="0"/>
              <w:marRight w:val="0"/>
              <w:marTop w:val="0"/>
              <w:marBottom w:val="0"/>
              <w:divBdr>
                <w:top w:val="none" w:sz="0" w:space="0" w:color="auto"/>
                <w:left w:val="none" w:sz="0" w:space="0" w:color="auto"/>
                <w:bottom w:val="none" w:sz="0" w:space="0" w:color="auto"/>
                <w:right w:val="none" w:sz="0" w:space="0" w:color="auto"/>
              </w:divBdr>
              <w:divsChild>
                <w:div w:id="4504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1799">
      <w:bodyDiv w:val="1"/>
      <w:marLeft w:val="0"/>
      <w:marRight w:val="0"/>
      <w:marTop w:val="0"/>
      <w:marBottom w:val="0"/>
      <w:divBdr>
        <w:top w:val="none" w:sz="0" w:space="0" w:color="auto"/>
        <w:left w:val="none" w:sz="0" w:space="0" w:color="auto"/>
        <w:bottom w:val="none" w:sz="0" w:space="0" w:color="auto"/>
        <w:right w:val="none" w:sz="0" w:space="0" w:color="auto"/>
      </w:divBdr>
    </w:div>
    <w:div w:id="101923002">
      <w:bodyDiv w:val="1"/>
      <w:marLeft w:val="0"/>
      <w:marRight w:val="0"/>
      <w:marTop w:val="0"/>
      <w:marBottom w:val="0"/>
      <w:divBdr>
        <w:top w:val="none" w:sz="0" w:space="0" w:color="auto"/>
        <w:left w:val="none" w:sz="0" w:space="0" w:color="auto"/>
        <w:bottom w:val="none" w:sz="0" w:space="0" w:color="auto"/>
        <w:right w:val="none" w:sz="0" w:space="0" w:color="auto"/>
      </w:divBdr>
    </w:div>
    <w:div w:id="125244257">
      <w:bodyDiv w:val="1"/>
      <w:marLeft w:val="0"/>
      <w:marRight w:val="0"/>
      <w:marTop w:val="0"/>
      <w:marBottom w:val="0"/>
      <w:divBdr>
        <w:top w:val="none" w:sz="0" w:space="0" w:color="auto"/>
        <w:left w:val="none" w:sz="0" w:space="0" w:color="auto"/>
        <w:bottom w:val="none" w:sz="0" w:space="0" w:color="auto"/>
        <w:right w:val="none" w:sz="0" w:space="0" w:color="auto"/>
      </w:divBdr>
    </w:div>
    <w:div w:id="136655316">
      <w:bodyDiv w:val="1"/>
      <w:marLeft w:val="0"/>
      <w:marRight w:val="0"/>
      <w:marTop w:val="0"/>
      <w:marBottom w:val="0"/>
      <w:divBdr>
        <w:top w:val="none" w:sz="0" w:space="0" w:color="auto"/>
        <w:left w:val="none" w:sz="0" w:space="0" w:color="auto"/>
        <w:bottom w:val="none" w:sz="0" w:space="0" w:color="auto"/>
        <w:right w:val="none" w:sz="0" w:space="0" w:color="auto"/>
      </w:divBdr>
    </w:div>
    <w:div w:id="177237645">
      <w:bodyDiv w:val="1"/>
      <w:marLeft w:val="0"/>
      <w:marRight w:val="0"/>
      <w:marTop w:val="0"/>
      <w:marBottom w:val="0"/>
      <w:divBdr>
        <w:top w:val="none" w:sz="0" w:space="0" w:color="auto"/>
        <w:left w:val="none" w:sz="0" w:space="0" w:color="auto"/>
        <w:bottom w:val="none" w:sz="0" w:space="0" w:color="auto"/>
        <w:right w:val="none" w:sz="0" w:space="0" w:color="auto"/>
      </w:divBdr>
    </w:div>
    <w:div w:id="323321327">
      <w:bodyDiv w:val="1"/>
      <w:marLeft w:val="0"/>
      <w:marRight w:val="0"/>
      <w:marTop w:val="0"/>
      <w:marBottom w:val="0"/>
      <w:divBdr>
        <w:top w:val="none" w:sz="0" w:space="0" w:color="auto"/>
        <w:left w:val="none" w:sz="0" w:space="0" w:color="auto"/>
        <w:bottom w:val="none" w:sz="0" w:space="0" w:color="auto"/>
        <w:right w:val="none" w:sz="0" w:space="0" w:color="auto"/>
      </w:divBdr>
    </w:div>
    <w:div w:id="338435473">
      <w:bodyDiv w:val="1"/>
      <w:marLeft w:val="0"/>
      <w:marRight w:val="0"/>
      <w:marTop w:val="0"/>
      <w:marBottom w:val="0"/>
      <w:divBdr>
        <w:top w:val="none" w:sz="0" w:space="0" w:color="auto"/>
        <w:left w:val="none" w:sz="0" w:space="0" w:color="auto"/>
        <w:bottom w:val="none" w:sz="0" w:space="0" w:color="auto"/>
        <w:right w:val="none" w:sz="0" w:space="0" w:color="auto"/>
      </w:divBdr>
      <w:divsChild>
        <w:div w:id="509683989">
          <w:marLeft w:val="0"/>
          <w:marRight w:val="0"/>
          <w:marTop w:val="0"/>
          <w:marBottom w:val="0"/>
          <w:divBdr>
            <w:top w:val="none" w:sz="0" w:space="0" w:color="auto"/>
            <w:left w:val="none" w:sz="0" w:space="0" w:color="auto"/>
            <w:bottom w:val="none" w:sz="0" w:space="0" w:color="auto"/>
            <w:right w:val="none" w:sz="0" w:space="0" w:color="auto"/>
          </w:divBdr>
        </w:div>
      </w:divsChild>
    </w:div>
    <w:div w:id="418332469">
      <w:bodyDiv w:val="1"/>
      <w:marLeft w:val="0"/>
      <w:marRight w:val="0"/>
      <w:marTop w:val="0"/>
      <w:marBottom w:val="0"/>
      <w:divBdr>
        <w:top w:val="none" w:sz="0" w:space="0" w:color="auto"/>
        <w:left w:val="none" w:sz="0" w:space="0" w:color="auto"/>
        <w:bottom w:val="none" w:sz="0" w:space="0" w:color="auto"/>
        <w:right w:val="none" w:sz="0" w:space="0" w:color="auto"/>
      </w:divBdr>
    </w:div>
    <w:div w:id="514686864">
      <w:bodyDiv w:val="1"/>
      <w:marLeft w:val="0"/>
      <w:marRight w:val="0"/>
      <w:marTop w:val="0"/>
      <w:marBottom w:val="0"/>
      <w:divBdr>
        <w:top w:val="none" w:sz="0" w:space="0" w:color="auto"/>
        <w:left w:val="none" w:sz="0" w:space="0" w:color="auto"/>
        <w:bottom w:val="none" w:sz="0" w:space="0" w:color="auto"/>
        <w:right w:val="none" w:sz="0" w:space="0" w:color="auto"/>
      </w:divBdr>
      <w:divsChild>
        <w:div w:id="967706502">
          <w:marLeft w:val="0"/>
          <w:marRight w:val="0"/>
          <w:marTop w:val="0"/>
          <w:marBottom w:val="0"/>
          <w:divBdr>
            <w:top w:val="none" w:sz="0" w:space="0" w:color="auto"/>
            <w:left w:val="none" w:sz="0" w:space="0" w:color="auto"/>
            <w:bottom w:val="none" w:sz="0" w:space="0" w:color="auto"/>
            <w:right w:val="none" w:sz="0" w:space="0" w:color="auto"/>
          </w:divBdr>
          <w:divsChild>
            <w:div w:id="1420062516">
              <w:marLeft w:val="0"/>
              <w:marRight w:val="0"/>
              <w:marTop w:val="0"/>
              <w:marBottom w:val="0"/>
              <w:divBdr>
                <w:top w:val="none" w:sz="0" w:space="0" w:color="auto"/>
                <w:left w:val="none" w:sz="0" w:space="0" w:color="auto"/>
                <w:bottom w:val="none" w:sz="0" w:space="0" w:color="auto"/>
                <w:right w:val="none" w:sz="0" w:space="0" w:color="auto"/>
              </w:divBdr>
              <w:divsChild>
                <w:div w:id="19126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2390">
      <w:bodyDiv w:val="1"/>
      <w:marLeft w:val="0"/>
      <w:marRight w:val="0"/>
      <w:marTop w:val="0"/>
      <w:marBottom w:val="0"/>
      <w:divBdr>
        <w:top w:val="none" w:sz="0" w:space="0" w:color="auto"/>
        <w:left w:val="none" w:sz="0" w:space="0" w:color="auto"/>
        <w:bottom w:val="none" w:sz="0" w:space="0" w:color="auto"/>
        <w:right w:val="none" w:sz="0" w:space="0" w:color="auto"/>
      </w:divBdr>
    </w:div>
    <w:div w:id="633143727">
      <w:bodyDiv w:val="1"/>
      <w:marLeft w:val="0"/>
      <w:marRight w:val="0"/>
      <w:marTop w:val="0"/>
      <w:marBottom w:val="0"/>
      <w:divBdr>
        <w:top w:val="none" w:sz="0" w:space="0" w:color="auto"/>
        <w:left w:val="none" w:sz="0" w:space="0" w:color="auto"/>
        <w:bottom w:val="none" w:sz="0" w:space="0" w:color="auto"/>
        <w:right w:val="none" w:sz="0" w:space="0" w:color="auto"/>
      </w:divBdr>
    </w:div>
    <w:div w:id="652218105">
      <w:bodyDiv w:val="1"/>
      <w:marLeft w:val="0"/>
      <w:marRight w:val="0"/>
      <w:marTop w:val="0"/>
      <w:marBottom w:val="0"/>
      <w:divBdr>
        <w:top w:val="none" w:sz="0" w:space="0" w:color="auto"/>
        <w:left w:val="none" w:sz="0" w:space="0" w:color="auto"/>
        <w:bottom w:val="none" w:sz="0" w:space="0" w:color="auto"/>
        <w:right w:val="none" w:sz="0" w:space="0" w:color="auto"/>
      </w:divBdr>
      <w:divsChild>
        <w:div w:id="1749963743">
          <w:marLeft w:val="0"/>
          <w:marRight w:val="0"/>
          <w:marTop w:val="0"/>
          <w:marBottom w:val="0"/>
          <w:divBdr>
            <w:top w:val="none" w:sz="0" w:space="0" w:color="auto"/>
            <w:left w:val="none" w:sz="0" w:space="0" w:color="auto"/>
            <w:bottom w:val="none" w:sz="0" w:space="0" w:color="auto"/>
            <w:right w:val="none" w:sz="0" w:space="0" w:color="auto"/>
          </w:divBdr>
          <w:divsChild>
            <w:div w:id="1952007459">
              <w:marLeft w:val="0"/>
              <w:marRight w:val="0"/>
              <w:marTop w:val="0"/>
              <w:marBottom w:val="0"/>
              <w:divBdr>
                <w:top w:val="none" w:sz="0" w:space="0" w:color="auto"/>
                <w:left w:val="none" w:sz="0" w:space="0" w:color="auto"/>
                <w:bottom w:val="none" w:sz="0" w:space="0" w:color="auto"/>
                <w:right w:val="none" w:sz="0" w:space="0" w:color="auto"/>
              </w:divBdr>
              <w:divsChild>
                <w:div w:id="137767061">
                  <w:marLeft w:val="0"/>
                  <w:marRight w:val="0"/>
                  <w:marTop w:val="0"/>
                  <w:marBottom w:val="0"/>
                  <w:divBdr>
                    <w:top w:val="none" w:sz="0" w:space="0" w:color="auto"/>
                    <w:left w:val="none" w:sz="0" w:space="0" w:color="auto"/>
                    <w:bottom w:val="none" w:sz="0" w:space="0" w:color="auto"/>
                    <w:right w:val="none" w:sz="0" w:space="0" w:color="auto"/>
                  </w:divBdr>
                  <w:divsChild>
                    <w:div w:id="278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7767">
      <w:bodyDiv w:val="1"/>
      <w:marLeft w:val="0"/>
      <w:marRight w:val="0"/>
      <w:marTop w:val="0"/>
      <w:marBottom w:val="0"/>
      <w:divBdr>
        <w:top w:val="none" w:sz="0" w:space="0" w:color="auto"/>
        <w:left w:val="none" w:sz="0" w:space="0" w:color="auto"/>
        <w:bottom w:val="none" w:sz="0" w:space="0" w:color="auto"/>
        <w:right w:val="none" w:sz="0" w:space="0" w:color="auto"/>
      </w:divBdr>
    </w:div>
    <w:div w:id="717246581">
      <w:bodyDiv w:val="1"/>
      <w:marLeft w:val="0"/>
      <w:marRight w:val="0"/>
      <w:marTop w:val="0"/>
      <w:marBottom w:val="0"/>
      <w:divBdr>
        <w:top w:val="none" w:sz="0" w:space="0" w:color="auto"/>
        <w:left w:val="none" w:sz="0" w:space="0" w:color="auto"/>
        <w:bottom w:val="none" w:sz="0" w:space="0" w:color="auto"/>
        <w:right w:val="none" w:sz="0" w:space="0" w:color="auto"/>
      </w:divBdr>
    </w:div>
    <w:div w:id="723142204">
      <w:bodyDiv w:val="1"/>
      <w:marLeft w:val="0"/>
      <w:marRight w:val="0"/>
      <w:marTop w:val="0"/>
      <w:marBottom w:val="0"/>
      <w:divBdr>
        <w:top w:val="none" w:sz="0" w:space="0" w:color="auto"/>
        <w:left w:val="none" w:sz="0" w:space="0" w:color="auto"/>
        <w:bottom w:val="none" w:sz="0" w:space="0" w:color="auto"/>
        <w:right w:val="none" w:sz="0" w:space="0" w:color="auto"/>
      </w:divBdr>
      <w:divsChild>
        <w:div w:id="1980457468">
          <w:marLeft w:val="0"/>
          <w:marRight w:val="0"/>
          <w:marTop w:val="0"/>
          <w:marBottom w:val="0"/>
          <w:divBdr>
            <w:top w:val="none" w:sz="0" w:space="0" w:color="auto"/>
            <w:left w:val="none" w:sz="0" w:space="0" w:color="auto"/>
            <w:bottom w:val="none" w:sz="0" w:space="0" w:color="auto"/>
            <w:right w:val="none" w:sz="0" w:space="0" w:color="auto"/>
          </w:divBdr>
          <w:divsChild>
            <w:div w:id="167527135">
              <w:marLeft w:val="0"/>
              <w:marRight w:val="0"/>
              <w:marTop w:val="0"/>
              <w:marBottom w:val="0"/>
              <w:divBdr>
                <w:top w:val="none" w:sz="0" w:space="0" w:color="auto"/>
                <w:left w:val="none" w:sz="0" w:space="0" w:color="auto"/>
                <w:bottom w:val="none" w:sz="0" w:space="0" w:color="auto"/>
                <w:right w:val="none" w:sz="0" w:space="0" w:color="auto"/>
              </w:divBdr>
              <w:divsChild>
                <w:div w:id="463276239">
                  <w:marLeft w:val="0"/>
                  <w:marRight w:val="0"/>
                  <w:marTop w:val="0"/>
                  <w:marBottom w:val="0"/>
                  <w:divBdr>
                    <w:top w:val="none" w:sz="0" w:space="0" w:color="auto"/>
                    <w:left w:val="none" w:sz="0" w:space="0" w:color="auto"/>
                    <w:bottom w:val="none" w:sz="0" w:space="0" w:color="auto"/>
                    <w:right w:val="none" w:sz="0" w:space="0" w:color="auto"/>
                  </w:divBdr>
                  <w:divsChild>
                    <w:div w:id="418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47240">
      <w:bodyDiv w:val="1"/>
      <w:marLeft w:val="0"/>
      <w:marRight w:val="0"/>
      <w:marTop w:val="0"/>
      <w:marBottom w:val="0"/>
      <w:divBdr>
        <w:top w:val="none" w:sz="0" w:space="0" w:color="auto"/>
        <w:left w:val="none" w:sz="0" w:space="0" w:color="auto"/>
        <w:bottom w:val="none" w:sz="0" w:space="0" w:color="auto"/>
        <w:right w:val="none" w:sz="0" w:space="0" w:color="auto"/>
      </w:divBdr>
      <w:divsChild>
        <w:div w:id="148374076">
          <w:marLeft w:val="0"/>
          <w:marRight w:val="0"/>
          <w:marTop w:val="0"/>
          <w:marBottom w:val="0"/>
          <w:divBdr>
            <w:top w:val="none" w:sz="0" w:space="0" w:color="auto"/>
            <w:left w:val="none" w:sz="0" w:space="0" w:color="auto"/>
            <w:bottom w:val="none" w:sz="0" w:space="0" w:color="auto"/>
            <w:right w:val="none" w:sz="0" w:space="0" w:color="auto"/>
          </w:divBdr>
          <w:divsChild>
            <w:div w:id="418452211">
              <w:marLeft w:val="0"/>
              <w:marRight w:val="0"/>
              <w:marTop w:val="0"/>
              <w:marBottom w:val="0"/>
              <w:divBdr>
                <w:top w:val="none" w:sz="0" w:space="0" w:color="auto"/>
                <w:left w:val="none" w:sz="0" w:space="0" w:color="auto"/>
                <w:bottom w:val="none" w:sz="0" w:space="0" w:color="auto"/>
                <w:right w:val="none" w:sz="0" w:space="0" w:color="auto"/>
              </w:divBdr>
              <w:divsChild>
                <w:div w:id="302779003">
                  <w:marLeft w:val="0"/>
                  <w:marRight w:val="0"/>
                  <w:marTop w:val="0"/>
                  <w:marBottom w:val="0"/>
                  <w:divBdr>
                    <w:top w:val="none" w:sz="0" w:space="0" w:color="auto"/>
                    <w:left w:val="none" w:sz="0" w:space="0" w:color="auto"/>
                    <w:bottom w:val="none" w:sz="0" w:space="0" w:color="auto"/>
                    <w:right w:val="none" w:sz="0" w:space="0" w:color="auto"/>
                  </w:divBdr>
                  <w:divsChild>
                    <w:div w:id="4971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2022">
      <w:bodyDiv w:val="1"/>
      <w:marLeft w:val="0"/>
      <w:marRight w:val="0"/>
      <w:marTop w:val="0"/>
      <w:marBottom w:val="0"/>
      <w:divBdr>
        <w:top w:val="none" w:sz="0" w:space="0" w:color="auto"/>
        <w:left w:val="none" w:sz="0" w:space="0" w:color="auto"/>
        <w:bottom w:val="none" w:sz="0" w:space="0" w:color="auto"/>
        <w:right w:val="none" w:sz="0" w:space="0" w:color="auto"/>
      </w:divBdr>
    </w:div>
    <w:div w:id="1032806977">
      <w:bodyDiv w:val="1"/>
      <w:marLeft w:val="0"/>
      <w:marRight w:val="0"/>
      <w:marTop w:val="0"/>
      <w:marBottom w:val="0"/>
      <w:divBdr>
        <w:top w:val="none" w:sz="0" w:space="0" w:color="auto"/>
        <w:left w:val="none" w:sz="0" w:space="0" w:color="auto"/>
        <w:bottom w:val="none" w:sz="0" w:space="0" w:color="auto"/>
        <w:right w:val="none" w:sz="0" w:space="0" w:color="auto"/>
      </w:divBdr>
    </w:div>
    <w:div w:id="1078595471">
      <w:bodyDiv w:val="1"/>
      <w:marLeft w:val="0"/>
      <w:marRight w:val="0"/>
      <w:marTop w:val="0"/>
      <w:marBottom w:val="0"/>
      <w:divBdr>
        <w:top w:val="none" w:sz="0" w:space="0" w:color="auto"/>
        <w:left w:val="none" w:sz="0" w:space="0" w:color="auto"/>
        <w:bottom w:val="none" w:sz="0" w:space="0" w:color="auto"/>
        <w:right w:val="none" w:sz="0" w:space="0" w:color="auto"/>
      </w:divBdr>
    </w:div>
    <w:div w:id="1109394415">
      <w:bodyDiv w:val="1"/>
      <w:marLeft w:val="0"/>
      <w:marRight w:val="0"/>
      <w:marTop w:val="0"/>
      <w:marBottom w:val="0"/>
      <w:divBdr>
        <w:top w:val="none" w:sz="0" w:space="0" w:color="auto"/>
        <w:left w:val="none" w:sz="0" w:space="0" w:color="auto"/>
        <w:bottom w:val="none" w:sz="0" w:space="0" w:color="auto"/>
        <w:right w:val="none" w:sz="0" w:space="0" w:color="auto"/>
      </w:divBdr>
      <w:divsChild>
        <w:div w:id="1519923769">
          <w:marLeft w:val="0"/>
          <w:marRight w:val="0"/>
          <w:marTop w:val="0"/>
          <w:marBottom w:val="0"/>
          <w:divBdr>
            <w:top w:val="none" w:sz="0" w:space="0" w:color="auto"/>
            <w:left w:val="none" w:sz="0" w:space="0" w:color="auto"/>
            <w:bottom w:val="none" w:sz="0" w:space="0" w:color="auto"/>
            <w:right w:val="none" w:sz="0" w:space="0" w:color="auto"/>
          </w:divBdr>
          <w:divsChild>
            <w:div w:id="1966228137">
              <w:marLeft w:val="0"/>
              <w:marRight w:val="0"/>
              <w:marTop w:val="0"/>
              <w:marBottom w:val="0"/>
              <w:divBdr>
                <w:top w:val="none" w:sz="0" w:space="0" w:color="auto"/>
                <w:left w:val="none" w:sz="0" w:space="0" w:color="auto"/>
                <w:bottom w:val="none" w:sz="0" w:space="0" w:color="auto"/>
                <w:right w:val="none" w:sz="0" w:space="0" w:color="auto"/>
              </w:divBdr>
              <w:divsChild>
                <w:div w:id="11736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04348">
      <w:bodyDiv w:val="1"/>
      <w:marLeft w:val="0"/>
      <w:marRight w:val="0"/>
      <w:marTop w:val="0"/>
      <w:marBottom w:val="0"/>
      <w:divBdr>
        <w:top w:val="none" w:sz="0" w:space="0" w:color="auto"/>
        <w:left w:val="none" w:sz="0" w:space="0" w:color="auto"/>
        <w:bottom w:val="none" w:sz="0" w:space="0" w:color="auto"/>
        <w:right w:val="none" w:sz="0" w:space="0" w:color="auto"/>
      </w:divBdr>
      <w:divsChild>
        <w:div w:id="1553157581">
          <w:marLeft w:val="0"/>
          <w:marRight w:val="0"/>
          <w:marTop w:val="0"/>
          <w:marBottom w:val="0"/>
          <w:divBdr>
            <w:top w:val="none" w:sz="0" w:space="0" w:color="auto"/>
            <w:left w:val="none" w:sz="0" w:space="0" w:color="auto"/>
            <w:bottom w:val="none" w:sz="0" w:space="0" w:color="auto"/>
            <w:right w:val="none" w:sz="0" w:space="0" w:color="auto"/>
          </w:divBdr>
          <w:divsChild>
            <w:div w:id="1522864959">
              <w:marLeft w:val="0"/>
              <w:marRight w:val="0"/>
              <w:marTop w:val="0"/>
              <w:marBottom w:val="0"/>
              <w:divBdr>
                <w:top w:val="none" w:sz="0" w:space="0" w:color="auto"/>
                <w:left w:val="none" w:sz="0" w:space="0" w:color="auto"/>
                <w:bottom w:val="none" w:sz="0" w:space="0" w:color="auto"/>
                <w:right w:val="none" w:sz="0" w:space="0" w:color="auto"/>
              </w:divBdr>
              <w:divsChild>
                <w:div w:id="223301847">
                  <w:marLeft w:val="0"/>
                  <w:marRight w:val="0"/>
                  <w:marTop w:val="0"/>
                  <w:marBottom w:val="0"/>
                  <w:divBdr>
                    <w:top w:val="none" w:sz="0" w:space="0" w:color="auto"/>
                    <w:left w:val="none" w:sz="0" w:space="0" w:color="auto"/>
                    <w:bottom w:val="none" w:sz="0" w:space="0" w:color="auto"/>
                    <w:right w:val="none" w:sz="0" w:space="0" w:color="auto"/>
                  </w:divBdr>
                  <w:divsChild>
                    <w:div w:id="2042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50260">
      <w:bodyDiv w:val="1"/>
      <w:marLeft w:val="0"/>
      <w:marRight w:val="0"/>
      <w:marTop w:val="0"/>
      <w:marBottom w:val="0"/>
      <w:divBdr>
        <w:top w:val="none" w:sz="0" w:space="0" w:color="auto"/>
        <w:left w:val="none" w:sz="0" w:space="0" w:color="auto"/>
        <w:bottom w:val="none" w:sz="0" w:space="0" w:color="auto"/>
        <w:right w:val="none" w:sz="0" w:space="0" w:color="auto"/>
      </w:divBdr>
    </w:div>
    <w:div w:id="1252157241">
      <w:bodyDiv w:val="1"/>
      <w:marLeft w:val="0"/>
      <w:marRight w:val="0"/>
      <w:marTop w:val="0"/>
      <w:marBottom w:val="0"/>
      <w:divBdr>
        <w:top w:val="none" w:sz="0" w:space="0" w:color="auto"/>
        <w:left w:val="none" w:sz="0" w:space="0" w:color="auto"/>
        <w:bottom w:val="none" w:sz="0" w:space="0" w:color="auto"/>
        <w:right w:val="none" w:sz="0" w:space="0" w:color="auto"/>
      </w:divBdr>
      <w:divsChild>
        <w:div w:id="2073501560">
          <w:marLeft w:val="547"/>
          <w:marRight w:val="0"/>
          <w:marTop w:val="254"/>
          <w:marBottom w:val="0"/>
          <w:divBdr>
            <w:top w:val="none" w:sz="0" w:space="0" w:color="auto"/>
            <w:left w:val="none" w:sz="0" w:space="0" w:color="auto"/>
            <w:bottom w:val="none" w:sz="0" w:space="0" w:color="auto"/>
            <w:right w:val="none" w:sz="0" w:space="0" w:color="auto"/>
          </w:divBdr>
        </w:div>
      </w:divsChild>
    </w:div>
    <w:div w:id="1324435612">
      <w:bodyDiv w:val="1"/>
      <w:marLeft w:val="0"/>
      <w:marRight w:val="0"/>
      <w:marTop w:val="0"/>
      <w:marBottom w:val="0"/>
      <w:divBdr>
        <w:top w:val="none" w:sz="0" w:space="0" w:color="auto"/>
        <w:left w:val="none" w:sz="0" w:space="0" w:color="auto"/>
        <w:bottom w:val="none" w:sz="0" w:space="0" w:color="auto"/>
        <w:right w:val="none" w:sz="0" w:space="0" w:color="auto"/>
      </w:divBdr>
    </w:div>
    <w:div w:id="1337535784">
      <w:bodyDiv w:val="1"/>
      <w:marLeft w:val="0"/>
      <w:marRight w:val="0"/>
      <w:marTop w:val="0"/>
      <w:marBottom w:val="0"/>
      <w:divBdr>
        <w:top w:val="none" w:sz="0" w:space="0" w:color="auto"/>
        <w:left w:val="none" w:sz="0" w:space="0" w:color="auto"/>
        <w:bottom w:val="none" w:sz="0" w:space="0" w:color="auto"/>
        <w:right w:val="none" w:sz="0" w:space="0" w:color="auto"/>
      </w:divBdr>
      <w:divsChild>
        <w:div w:id="279654298">
          <w:marLeft w:val="0"/>
          <w:marRight w:val="0"/>
          <w:marTop w:val="0"/>
          <w:marBottom w:val="0"/>
          <w:divBdr>
            <w:top w:val="none" w:sz="0" w:space="0" w:color="auto"/>
            <w:left w:val="none" w:sz="0" w:space="0" w:color="auto"/>
            <w:bottom w:val="none" w:sz="0" w:space="0" w:color="auto"/>
            <w:right w:val="none" w:sz="0" w:space="0" w:color="auto"/>
          </w:divBdr>
          <w:divsChild>
            <w:div w:id="556090220">
              <w:marLeft w:val="0"/>
              <w:marRight w:val="0"/>
              <w:marTop w:val="0"/>
              <w:marBottom w:val="0"/>
              <w:divBdr>
                <w:top w:val="none" w:sz="0" w:space="0" w:color="auto"/>
                <w:left w:val="none" w:sz="0" w:space="0" w:color="auto"/>
                <w:bottom w:val="none" w:sz="0" w:space="0" w:color="auto"/>
                <w:right w:val="none" w:sz="0" w:space="0" w:color="auto"/>
              </w:divBdr>
              <w:divsChild>
                <w:div w:id="949893331">
                  <w:marLeft w:val="0"/>
                  <w:marRight w:val="0"/>
                  <w:marTop w:val="0"/>
                  <w:marBottom w:val="0"/>
                  <w:divBdr>
                    <w:top w:val="none" w:sz="0" w:space="0" w:color="auto"/>
                    <w:left w:val="none" w:sz="0" w:space="0" w:color="auto"/>
                    <w:bottom w:val="none" w:sz="0" w:space="0" w:color="auto"/>
                    <w:right w:val="none" w:sz="0" w:space="0" w:color="auto"/>
                  </w:divBdr>
                  <w:divsChild>
                    <w:div w:id="18370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926479">
      <w:bodyDiv w:val="1"/>
      <w:marLeft w:val="0"/>
      <w:marRight w:val="0"/>
      <w:marTop w:val="0"/>
      <w:marBottom w:val="0"/>
      <w:divBdr>
        <w:top w:val="none" w:sz="0" w:space="0" w:color="auto"/>
        <w:left w:val="none" w:sz="0" w:space="0" w:color="auto"/>
        <w:bottom w:val="none" w:sz="0" w:space="0" w:color="auto"/>
        <w:right w:val="none" w:sz="0" w:space="0" w:color="auto"/>
      </w:divBdr>
    </w:div>
    <w:div w:id="1409301017">
      <w:bodyDiv w:val="1"/>
      <w:marLeft w:val="0"/>
      <w:marRight w:val="0"/>
      <w:marTop w:val="0"/>
      <w:marBottom w:val="0"/>
      <w:divBdr>
        <w:top w:val="none" w:sz="0" w:space="0" w:color="auto"/>
        <w:left w:val="none" w:sz="0" w:space="0" w:color="auto"/>
        <w:bottom w:val="none" w:sz="0" w:space="0" w:color="auto"/>
        <w:right w:val="none" w:sz="0" w:space="0" w:color="auto"/>
      </w:divBdr>
    </w:div>
    <w:div w:id="1439064870">
      <w:bodyDiv w:val="1"/>
      <w:marLeft w:val="0"/>
      <w:marRight w:val="0"/>
      <w:marTop w:val="0"/>
      <w:marBottom w:val="0"/>
      <w:divBdr>
        <w:top w:val="none" w:sz="0" w:space="0" w:color="auto"/>
        <w:left w:val="none" w:sz="0" w:space="0" w:color="auto"/>
        <w:bottom w:val="none" w:sz="0" w:space="0" w:color="auto"/>
        <w:right w:val="none" w:sz="0" w:space="0" w:color="auto"/>
      </w:divBdr>
    </w:div>
    <w:div w:id="1499268364">
      <w:bodyDiv w:val="1"/>
      <w:marLeft w:val="0"/>
      <w:marRight w:val="0"/>
      <w:marTop w:val="0"/>
      <w:marBottom w:val="0"/>
      <w:divBdr>
        <w:top w:val="none" w:sz="0" w:space="0" w:color="auto"/>
        <w:left w:val="none" w:sz="0" w:space="0" w:color="auto"/>
        <w:bottom w:val="none" w:sz="0" w:space="0" w:color="auto"/>
        <w:right w:val="none" w:sz="0" w:space="0" w:color="auto"/>
      </w:divBdr>
    </w:div>
    <w:div w:id="1512449742">
      <w:bodyDiv w:val="1"/>
      <w:marLeft w:val="0"/>
      <w:marRight w:val="0"/>
      <w:marTop w:val="0"/>
      <w:marBottom w:val="0"/>
      <w:divBdr>
        <w:top w:val="none" w:sz="0" w:space="0" w:color="auto"/>
        <w:left w:val="none" w:sz="0" w:space="0" w:color="auto"/>
        <w:bottom w:val="none" w:sz="0" w:space="0" w:color="auto"/>
        <w:right w:val="none" w:sz="0" w:space="0" w:color="auto"/>
      </w:divBdr>
    </w:div>
    <w:div w:id="1538002610">
      <w:bodyDiv w:val="1"/>
      <w:marLeft w:val="0"/>
      <w:marRight w:val="0"/>
      <w:marTop w:val="0"/>
      <w:marBottom w:val="0"/>
      <w:divBdr>
        <w:top w:val="none" w:sz="0" w:space="0" w:color="auto"/>
        <w:left w:val="none" w:sz="0" w:space="0" w:color="auto"/>
        <w:bottom w:val="none" w:sz="0" w:space="0" w:color="auto"/>
        <w:right w:val="none" w:sz="0" w:space="0" w:color="auto"/>
      </w:divBdr>
      <w:divsChild>
        <w:div w:id="1418206079">
          <w:marLeft w:val="0"/>
          <w:marRight w:val="0"/>
          <w:marTop w:val="0"/>
          <w:marBottom w:val="0"/>
          <w:divBdr>
            <w:top w:val="none" w:sz="0" w:space="0" w:color="auto"/>
            <w:left w:val="none" w:sz="0" w:space="0" w:color="auto"/>
            <w:bottom w:val="none" w:sz="0" w:space="0" w:color="auto"/>
            <w:right w:val="none" w:sz="0" w:space="0" w:color="auto"/>
          </w:divBdr>
          <w:divsChild>
            <w:div w:id="1660766422">
              <w:marLeft w:val="0"/>
              <w:marRight w:val="0"/>
              <w:marTop w:val="0"/>
              <w:marBottom w:val="0"/>
              <w:divBdr>
                <w:top w:val="none" w:sz="0" w:space="0" w:color="auto"/>
                <w:left w:val="none" w:sz="0" w:space="0" w:color="auto"/>
                <w:bottom w:val="none" w:sz="0" w:space="0" w:color="auto"/>
                <w:right w:val="none" w:sz="0" w:space="0" w:color="auto"/>
              </w:divBdr>
              <w:divsChild>
                <w:div w:id="1059599109">
                  <w:marLeft w:val="0"/>
                  <w:marRight w:val="0"/>
                  <w:marTop w:val="0"/>
                  <w:marBottom w:val="0"/>
                  <w:divBdr>
                    <w:top w:val="none" w:sz="0" w:space="0" w:color="auto"/>
                    <w:left w:val="none" w:sz="0" w:space="0" w:color="auto"/>
                    <w:bottom w:val="none" w:sz="0" w:space="0" w:color="auto"/>
                    <w:right w:val="none" w:sz="0" w:space="0" w:color="auto"/>
                  </w:divBdr>
                  <w:divsChild>
                    <w:div w:id="9413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8185">
      <w:bodyDiv w:val="1"/>
      <w:marLeft w:val="0"/>
      <w:marRight w:val="0"/>
      <w:marTop w:val="0"/>
      <w:marBottom w:val="0"/>
      <w:divBdr>
        <w:top w:val="none" w:sz="0" w:space="0" w:color="auto"/>
        <w:left w:val="none" w:sz="0" w:space="0" w:color="auto"/>
        <w:bottom w:val="none" w:sz="0" w:space="0" w:color="auto"/>
        <w:right w:val="none" w:sz="0" w:space="0" w:color="auto"/>
      </w:divBdr>
    </w:div>
    <w:div w:id="1735423444">
      <w:bodyDiv w:val="1"/>
      <w:marLeft w:val="0"/>
      <w:marRight w:val="0"/>
      <w:marTop w:val="0"/>
      <w:marBottom w:val="0"/>
      <w:divBdr>
        <w:top w:val="none" w:sz="0" w:space="0" w:color="auto"/>
        <w:left w:val="none" w:sz="0" w:space="0" w:color="auto"/>
        <w:bottom w:val="none" w:sz="0" w:space="0" w:color="auto"/>
        <w:right w:val="none" w:sz="0" w:space="0" w:color="auto"/>
      </w:divBdr>
    </w:div>
    <w:div w:id="1757550003">
      <w:bodyDiv w:val="1"/>
      <w:marLeft w:val="0"/>
      <w:marRight w:val="0"/>
      <w:marTop w:val="0"/>
      <w:marBottom w:val="0"/>
      <w:divBdr>
        <w:top w:val="none" w:sz="0" w:space="0" w:color="auto"/>
        <w:left w:val="none" w:sz="0" w:space="0" w:color="auto"/>
        <w:bottom w:val="none" w:sz="0" w:space="0" w:color="auto"/>
        <w:right w:val="none" w:sz="0" w:space="0" w:color="auto"/>
      </w:divBdr>
    </w:div>
    <w:div w:id="1786801500">
      <w:bodyDiv w:val="1"/>
      <w:marLeft w:val="0"/>
      <w:marRight w:val="0"/>
      <w:marTop w:val="0"/>
      <w:marBottom w:val="0"/>
      <w:divBdr>
        <w:top w:val="none" w:sz="0" w:space="0" w:color="auto"/>
        <w:left w:val="none" w:sz="0" w:space="0" w:color="auto"/>
        <w:bottom w:val="none" w:sz="0" w:space="0" w:color="auto"/>
        <w:right w:val="none" w:sz="0" w:space="0" w:color="auto"/>
      </w:divBdr>
    </w:div>
    <w:div w:id="1798987023">
      <w:bodyDiv w:val="1"/>
      <w:marLeft w:val="0"/>
      <w:marRight w:val="0"/>
      <w:marTop w:val="0"/>
      <w:marBottom w:val="0"/>
      <w:divBdr>
        <w:top w:val="none" w:sz="0" w:space="0" w:color="auto"/>
        <w:left w:val="none" w:sz="0" w:space="0" w:color="auto"/>
        <w:bottom w:val="none" w:sz="0" w:space="0" w:color="auto"/>
        <w:right w:val="none" w:sz="0" w:space="0" w:color="auto"/>
      </w:divBdr>
      <w:divsChild>
        <w:div w:id="642318759">
          <w:marLeft w:val="0"/>
          <w:marRight w:val="0"/>
          <w:marTop w:val="0"/>
          <w:marBottom w:val="0"/>
          <w:divBdr>
            <w:top w:val="none" w:sz="0" w:space="0" w:color="auto"/>
            <w:left w:val="none" w:sz="0" w:space="0" w:color="auto"/>
            <w:bottom w:val="none" w:sz="0" w:space="0" w:color="auto"/>
            <w:right w:val="none" w:sz="0" w:space="0" w:color="auto"/>
          </w:divBdr>
          <w:divsChild>
            <w:div w:id="791633077">
              <w:marLeft w:val="0"/>
              <w:marRight w:val="0"/>
              <w:marTop w:val="0"/>
              <w:marBottom w:val="0"/>
              <w:divBdr>
                <w:top w:val="none" w:sz="0" w:space="0" w:color="auto"/>
                <w:left w:val="none" w:sz="0" w:space="0" w:color="auto"/>
                <w:bottom w:val="none" w:sz="0" w:space="0" w:color="auto"/>
                <w:right w:val="none" w:sz="0" w:space="0" w:color="auto"/>
              </w:divBdr>
              <w:divsChild>
                <w:div w:id="1914270172">
                  <w:marLeft w:val="0"/>
                  <w:marRight w:val="0"/>
                  <w:marTop w:val="0"/>
                  <w:marBottom w:val="0"/>
                  <w:divBdr>
                    <w:top w:val="none" w:sz="0" w:space="0" w:color="auto"/>
                    <w:left w:val="none" w:sz="0" w:space="0" w:color="auto"/>
                    <w:bottom w:val="none" w:sz="0" w:space="0" w:color="auto"/>
                    <w:right w:val="none" w:sz="0" w:space="0" w:color="auto"/>
                  </w:divBdr>
                  <w:divsChild>
                    <w:div w:id="13526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60682">
      <w:bodyDiv w:val="1"/>
      <w:marLeft w:val="0"/>
      <w:marRight w:val="0"/>
      <w:marTop w:val="0"/>
      <w:marBottom w:val="0"/>
      <w:divBdr>
        <w:top w:val="none" w:sz="0" w:space="0" w:color="auto"/>
        <w:left w:val="none" w:sz="0" w:space="0" w:color="auto"/>
        <w:bottom w:val="none" w:sz="0" w:space="0" w:color="auto"/>
        <w:right w:val="none" w:sz="0" w:space="0" w:color="auto"/>
      </w:divBdr>
      <w:divsChild>
        <w:div w:id="955717193">
          <w:marLeft w:val="0"/>
          <w:marRight w:val="0"/>
          <w:marTop w:val="0"/>
          <w:marBottom w:val="0"/>
          <w:divBdr>
            <w:top w:val="none" w:sz="0" w:space="0" w:color="auto"/>
            <w:left w:val="none" w:sz="0" w:space="0" w:color="auto"/>
            <w:bottom w:val="none" w:sz="0" w:space="0" w:color="auto"/>
            <w:right w:val="none" w:sz="0" w:space="0" w:color="auto"/>
          </w:divBdr>
          <w:divsChild>
            <w:div w:id="1145194733">
              <w:marLeft w:val="0"/>
              <w:marRight w:val="0"/>
              <w:marTop w:val="0"/>
              <w:marBottom w:val="0"/>
              <w:divBdr>
                <w:top w:val="none" w:sz="0" w:space="0" w:color="auto"/>
                <w:left w:val="none" w:sz="0" w:space="0" w:color="auto"/>
                <w:bottom w:val="none" w:sz="0" w:space="0" w:color="auto"/>
                <w:right w:val="none" w:sz="0" w:space="0" w:color="auto"/>
              </w:divBdr>
              <w:divsChild>
                <w:div w:id="52391532">
                  <w:marLeft w:val="0"/>
                  <w:marRight w:val="0"/>
                  <w:marTop w:val="0"/>
                  <w:marBottom w:val="0"/>
                  <w:divBdr>
                    <w:top w:val="none" w:sz="0" w:space="0" w:color="auto"/>
                    <w:left w:val="none" w:sz="0" w:space="0" w:color="auto"/>
                    <w:bottom w:val="none" w:sz="0" w:space="0" w:color="auto"/>
                    <w:right w:val="none" w:sz="0" w:space="0" w:color="auto"/>
                  </w:divBdr>
                  <w:divsChild>
                    <w:div w:id="19534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13422">
      <w:bodyDiv w:val="1"/>
      <w:marLeft w:val="0"/>
      <w:marRight w:val="0"/>
      <w:marTop w:val="0"/>
      <w:marBottom w:val="0"/>
      <w:divBdr>
        <w:top w:val="none" w:sz="0" w:space="0" w:color="auto"/>
        <w:left w:val="none" w:sz="0" w:space="0" w:color="auto"/>
        <w:bottom w:val="none" w:sz="0" w:space="0" w:color="auto"/>
        <w:right w:val="none" w:sz="0" w:space="0" w:color="auto"/>
      </w:divBdr>
    </w:div>
    <w:div w:id="21197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rgbClr val="000000"/>
      </a:dk1>
      <a:lt1>
        <a:srgbClr val="FFFFFF"/>
      </a:lt1>
      <a:dk2>
        <a:srgbClr val="898A89"/>
      </a:dk2>
      <a:lt2>
        <a:srgbClr val="FFFFFF"/>
      </a:lt2>
      <a:accent1>
        <a:srgbClr val="009C4C"/>
      </a:accent1>
      <a:accent2>
        <a:srgbClr val="F8C55F"/>
      </a:accent2>
      <a:accent3>
        <a:srgbClr val="E57231"/>
      </a:accent3>
      <a:accent4>
        <a:srgbClr val="D81D46"/>
      </a:accent4>
      <a:accent5>
        <a:srgbClr val="8E89AE"/>
      </a:accent5>
      <a:accent6>
        <a:srgbClr val="6191BF"/>
      </a:accent6>
      <a:hlink>
        <a:srgbClr val="91C996"/>
      </a:hlink>
      <a:folHlink>
        <a:srgbClr val="B8C73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7D4A-D728-A84D-9A9B-BF80DBFA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45</Pages>
  <Words>14609</Words>
  <Characters>83276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dc:creator>
  <cp:lastModifiedBy>Naomi Mwaura</cp:lastModifiedBy>
  <cp:revision>3</cp:revision>
  <cp:lastPrinted>2013-08-04T08:53:00Z</cp:lastPrinted>
  <dcterms:created xsi:type="dcterms:W3CDTF">2019-07-18T14:34:00Z</dcterms:created>
  <dcterms:modified xsi:type="dcterms:W3CDTF">2019-07-19T09:18:00Z</dcterms:modified>
</cp:coreProperties>
</file>